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Hlk188785664" w:displacedByCustomXml="next"/>
    <w:sdt>
      <w:sdtPr>
        <w:rPr>
          <w:color w:val="auto"/>
        </w:rPr>
        <w:id w:val="1005329033"/>
        <w:docPartObj>
          <w:docPartGallery w:val="Cover Pages"/>
          <w:docPartUnique/>
        </w:docPartObj>
      </w:sdtPr>
      <w:sdtContent>
        <w:p w14:paraId="46568D1C" w14:textId="5EFFFF69" w:rsidR="00D44685" w:rsidRPr="00623EE6" w:rsidRDefault="00D44685">
          <w:pPr>
            <w:rPr>
              <w:color w:val="auto"/>
            </w:rPr>
          </w:pPr>
          <w:r w:rsidRPr="00623EE6">
            <w:rPr>
              <w:noProof/>
              <w:color w:val="auto"/>
            </w:rPr>
            <w:drawing>
              <wp:anchor distT="0" distB="0" distL="114300" distR="114300" simplePos="0" relativeHeight="251653120" behindDoc="0" locked="0" layoutInCell="1" allowOverlap="1" wp14:anchorId="4B3C93F3" wp14:editId="6E04BDB2">
                <wp:simplePos x="0" y="0"/>
                <wp:positionH relativeFrom="column">
                  <wp:posOffset>4108091</wp:posOffset>
                </wp:positionH>
                <wp:positionV relativeFrom="page">
                  <wp:posOffset>463026</wp:posOffset>
                </wp:positionV>
                <wp:extent cx="2057400" cy="1358900"/>
                <wp:effectExtent l="0" t="0" r="0" b="0"/>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1704610" w14:textId="4E7C8113" w:rsidR="00D44685" w:rsidRPr="00623EE6" w:rsidRDefault="006674EB">
          <w:pPr>
            <w:rPr>
              <w:color w:val="auto"/>
            </w:rPr>
          </w:pPr>
          <w:r w:rsidRPr="00623EE6">
            <w:rPr>
              <w:noProof/>
              <w:color w:val="auto"/>
            </w:rPr>
            <mc:AlternateContent>
              <mc:Choice Requires="wps">
                <w:drawing>
                  <wp:anchor distT="0" distB="0" distL="114300" distR="114300" simplePos="0" relativeHeight="251669504" behindDoc="0" locked="0" layoutInCell="1" allowOverlap="1" wp14:anchorId="2DB3DE9E" wp14:editId="7EC37C70">
                    <wp:simplePos x="0" y="0"/>
                    <wp:positionH relativeFrom="column">
                      <wp:posOffset>1543050</wp:posOffset>
                    </wp:positionH>
                    <wp:positionV relativeFrom="paragraph">
                      <wp:posOffset>2047240</wp:posOffset>
                    </wp:positionV>
                    <wp:extent cx="4782820" cy="7210425"/>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82820" cy="7210425"/>
                            </a:xfrm>
                            <a:prstGeom prst="rect">
                              <a:avLst/>
                            </a:prstGeom>
                            <a:noFill/>
                            <a:ln w="6350">
                              <a:noFill/>
                            </a:ln>
                          </wps:spPr>
                          <wps:txbx>
                            <w:txbxContent>
                              <w:p w14:paraId="30A25159" w14:textId="66E420E7" w:rsidR="00D44685" w:rsidRPr="00EF5C90" w:rsidRDefault="00F161B1">
                                <w:pPr>
                                  <w:pStyle w:val="FrontPageTitle"/>
                                  <w:rPr>
                                    <w:color w:val="538135" w:themeColor="accent6" w:themeShade="BF"/>
                                  </w:rPr>
                                </w:pPr>
                                <w:r w:rsidRPr="00EF5C90">
                                  <w:rPr>
                                    <w:color w:val="538135" w:themeColor="accent6" w:themeShade="BF"/>
                                  </w:rPr>
                                  <w:t>Community Justice Outcome Activity Annual Report</w:t>
                                </w:r>
                                <w:r w:rsidR="006674EB" w:rsidRPr="00EF5C90">
                                  <w:rPr>
                                    <w:color w:val="538135" w:themeColor="accent6" w:themeShade="BF"/>
                                  </w:rPr>
                                  <w:t xml:space="preserve"> </w:t>
                                </w:r>
                              </w:p>
                              <w:p w14:paraId="4785DA3B" w14:textId="74FC69CF" w:rsidR="00D44685" w:rsidRPr="00EF5C90" w:rsidRDefault="00F865DD">
                                <w:pPr>
                                  <w:spacing w:line="192" w:lineRule="auto"/>
                                  <w:rPr>
                                    <w:color w:val="538135" w:themeColor="accent6" w:themeShade="BF"/>
                                  </w:rPr>
                                </w:pPr>
                                <w:r w:rsidRPr="00EF5C90">
                                  <w:rPr>
                                    <w:rFonts w:eastAsiaTheme="minorEastAsia"/>
                                    <w:color w:val="538135" w:themeColor="accent6" w:themeShade="BF"/>
                                    <w:spacing w:val="15"/>
                                  </w:rPr>
                                  <w:t>2023-2024</w:t>
                                </w:r>
                              </w:p>
                              <w:p w14:paraId="7511DDE0" w14:textId="77777777" w:rsidR="00D44685" w:rsidRDefault="00D44685">
                                <w:pPr>
                                  <w:spacing w:line="192" w:lineRule="auto"/>
                                  <w:rPr>
                                    <w:color w:val="3B3838" w:themeColor="background2" w:themeShade="40"/>
                                  </w:rPr>
                                </w:pPr>
                              </w:p>
                              <w:p w14:paraId="6116E4DB" w14:textId="77777777" w:rsidR="00D44685" w:rsidRDefault="00D44685">
                                <w:pPr>
                                  <w:spacing w:line="192" w:lineRule="auto"/>
                                  <w:rPr>
                                    <w:color w:val="3B3838" w:themeColor="background2" w:themeShade="40"/>
                                  </w:rPr>
                                </w:pPr>
                              </w:p>
                              <w:p w14:paraId="573788BB" w14:textId="77777777" w:rsidR="00D87170" w:rsidRDefault="00D87170">
                                <w:pPr>
                                  <w:spacing w:line="192" w:lineRule="auto"/>
                                  <w:rPr>
                                    <w:color w:val="3B3838" w:themeColor="background2" w:themeShade="40"/>
                                  </w:rPr>
                                </w:pPr>
                              </w:p>
                              <w:p w14:paraId="7A03EE3F" w14:textId="77777777" w:rsidR="00D87170" w:rsidRDefault="00D87170">
                                <w:pPr>
                                  <w:spacing w:line="192" w:lineRule="auto"/>
                                  <w:rPr>
                                    <w:color w:val="3B3838" w:themeColor="background2" w:themeShade="40"/>
                                  </w:rPr>
                                </w:pPr>
                              </w:p>
                              <w:p w14:paraId="18AB1AC6" w14:textId="77777777" w:rsidR="00D87170" w:rsidRDefault="00D87170">
                                <w:pPr>
                                  <w:spacing w:line="192" w:lineRule="auto"/>
                                  <w:rPr>
                                    <w:color w:val="3B3838" w:themeColor="background2" w:themeShade="40"/>
                                  </w:rPr>
                                </w:pPr>
                              </w:p>
                              <w:p w14:paraId="44CA3E78" w14:textId="77777777" w:rsidR="00D87170" w:rsidRDefault="00D87170">
                                <w:pPr>
                                  <w:spacing w:line="192" w:lineRule="auto"/>
                                  <w:rPr>
                                    <w:color w:val="3B3838" w:themeColor="background2" w:themeShade="40"/>
                                  </w:rPr>
                                </w:pPr>
                              </w:p>
                              <w:p w14:paraId="090D998A" w14:textId="77777777" w:rsidR="00D87170" w:rsidRDefault="00D87170">
                                <w:pPr>
                                  <w:spacing w:line="192" w:lineRule="auto"/>
                                  <w:rPr>
                                    <w:color w:val="3B3838" w:themeColor="background2" w:themeShade="40"/>
                                  </w:rPr>
                                </w:pPr>
                              </w:p>
                              <w:p w14:paraId="5060EFED" w14:textId="77777777" w:rsidR="00D87170" w:rsidRDefault="00D87170">
                                <w:pPr>
                                  <w:spacing w:line="192" w:lineRule="auto"/>
                                  <w:rPr>
                                    <w:color w:val="3B3838" w:themeColor="background2" w:themeShade="40"/>
                                  </w:rPr>
                                </w:pPr>
                              </w:p>
                              <w:p w14:paraId="2DD1D7A3" w14:textId="77777777" w:rsidR="00D87170" w:rsidRDefault="00D87170">
                                <w:pPr>
                                  <w:spacing w:line="192" w:lineRule="auto"/>
                                  <w:rPr>
                                    <w:color w:val="3B3838" w:themeColor="background2" w:themeShade="40"/>
                                  </w:rPr>
                                </w:pPr>
                              </w:p>
                              <w:p w14:paraId="3025D145" w14:textId="77777777" w:rsidR="00D87170" w:rsidRDefault="00D87170">
                                <w:pPr>
                                  <w:spacing w:line="192" w:lineRule="auto"/>
                                  <w:rPr>
                                    <w:color w:val="3B3838" w:themeColor="background2" w:themeShade="40"/>
                                  </w:rPr>
                                </w:pPr>
                              </w:p>
                              <w:p w14:paraId="47DC0981" w14:textId="77777777" w:rsidR="00D87170" w:rsidRDefault="00D87170">
                                <w:pPr>
                                  <w:spacing w:line="192" w:lineRule="auto"/>
                                  <w:rPr>
                                    <w:color w:val="3B3838" w:themeColor="background2" w:themeShade="40"/>
                                  </w:rPr>
                                </w:pPr>
                              </w:p>
                              <w:p w14:paraId="1404F823" w14:textId="77777777" w:rsidR="00D87170" w:rsidRDefault="00D87170">
                                <w:pPr>
                                  <w:spacing w:line="192" w:lineRule="auto"/>
                                  <w:rPr>
                                    <w:color w:val="3B3838" w:themeColor="background2" w:themeShade="40"/>
                                  </w:rPr>
                                </w:pPr>
                              </w:p>
                              <w:p w14:paraId="7D947F50" w14:textId="77777777" w:rsidR="00D87170" w:rsidRDefault="00D87170">
                                <w:pPr>
                                  <w:spacing w:line="192" w:lineRule="auto"/>
                                  <w:rPr>
                                    <w:color w:val="3B3838" w:themeColor="background2" w:themeShade="40"/>
                                  </w:rPr>
                                </w:pPr>
                              </w:p>
                              <w:p w14:paraId="338A1D2C" w14:textId="77777777" w:rsidR="00D87170" w:rsidRDefault="00D87170">
                                <w:pPr>
                                  <w:spacing w:line="192" w:lineRule="auto"/>
                                  <w:rPr>
                                    <w:color w:val="3B3838" w:themeColor="background2" w:themeShade="40"/>
                                  </w:rPr>
                                </w:pPr>
                              </w:p>
                              <w:p w14:paraId="33ED2681" w14:textId="77777777" w:rsidR="00D87170" w:rsidRDefault="00D87170">
                                <w:pPr>
                                  <w:spacing w:line="192" w:lineRule="auto"/>
                                  <w:rPr>
                                    <w:color w:val="3B3838" w:themeColor="background2" w:themeShade="40"/>
                                  </w:rPr>
                                </w:pPr>
                              </w:p>
                              <w:p w14:paraId="36329A6C" w14:textId="77777777" w:rsidR="00D87170" w:rsidRDefault="00D87170">
                                <w:pPr>
                                  <w:spacing w:line="192" w:lineRule="auto"/>
                                  <w:rPr>
                                    <w:color w:val="3B3838" w:themeColor="background2" w:themeShade="40"/>
                                  </w:rPr>
                                </w:pPr>
                              </w:p>
                              <w:p w14:paraId="702A710B" w14:textId="77777777" w:rsidR="00D87170" w:rsidRDefault="00D87170">
                                <w:pPr>
                                  <w:spacing w:line="192" w:lineRule="auto"/>
                                  <w:rPr>
                                    <w:color w:val="3B3838" w:themeColor="background2" w:themeShade="40"/>
                                  </w:rPr>
                                </w:pPr>
                              </w:p>
                              <w:p w14:paraId="20708BF0" w14:textId="77777777" w:rsidR="00D87170" w:rsidRDefault="00D87170">
                                <w:pPr>
                                  <w:spacing w:line="192" w:lineRule="auto"/>
                                  <w:rPr>
                                    <w:color w:val="3B3838" w:themeColor="background2" w:themeShade="40"/>
                                  </w:rPr>
                                </w:pPr>
                              </w:p>
                              <w:p w14:paraId="75F5AB51" w14:textId="55CA2FB5" w:rsidR="00D87170" w:rsidRPr="00D87170" w:rsidRDefault="00D87170" w:rsidP="00D87170">
                                <w:pPr>
                                  <w:spacing w:line="192" w:lineRule="auto"/>
                                  <w:rPr>
                                    <w:b/>
                                    <w:bCs/>
                                    <w:color w:val="3B3838" w:themeColor="background2" w:themeShade="40"/>
                                  </w:rPr>
                                </w:pPr>
                                <w:r>
                                  <w:rPr>
                                    <w:color w:val="3B3838" w:themeColor="background2" w:themeShade="40"/>
                                  </w:rPr>
                                  <w:t xml:space="preserve">Laid </w:t>
                                </w:r>
                                <w:r w:rsidR="00ED23AA">
                                  <w:rPr>
                                    <w:color w:val="3B3838" w:themeColor="background2" w:themeShade="40"/>
                                  </w:rPr>
                                  <w:t>b</w:t>
                                </w:r>
                                <w:r>
                                  <w:rPr>
                                    <w:color w:val="3B3838" w:themeColor="background2" w:themeShade="40"/>
                                  </w:rPr>
                                  <w:t xml:space="preserve">efore the Scottish Parliament by Community Justice Scotland under section 27 of the Community Justice (Scotland) Act 2016 </w:t>
                                </w:r>
                                <w:r w:rsidRPr="00B456C1">
                                  <w:rPr>
                                    <w:color w:val="3B3838" w:themeColor="background2" w:themeShade="40"/>
                                  </w:rPr>
                                  <w:t>SG/2025/29</w:t>
                                </w:r>
                                <w:r w:rsidR="007A2E50">
                                  <w:rPr>
                                    <w:color w:val="3B3838" w:themeColor="background2" w:themeShade="40"/>
                                  </w:rPr>
                                  <w:t>.</w:t>
                                </w:r>
                              </w:p>
                              <w:p w14:paraId="7AF9445C" w14:textId="77777777" w:rsidR="00D87170" w:rsidRPr="00CA4075" w:rsidRDefault="00D87170">
                                <w:pPr>
                                  <w:spacing w:line="192" w:lineRule="auto"/>
                                  <w:rPr>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3DE9E" id="_x0000_t202" coordsize="21600,21600" o:spt="202" path="m,l,21600r21600,l21600,xe">
                    <v:stroke joinstyle="miter"/>
                    <v:path gradientshapeok="t" o:connecttype="rect"/>
                  </v:shapetype>
                  <v:shape id="Text Box 3" o:spid="_x0000_s1026" type="#_x0000_t202" alt="&quot;&quot;" style="position:absolute;margin-left:121.5pt;margin-top:161.2pt;width:376.6pt;height:56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C5FwIAAC0EAAAOAAAAZHJzL2Uyb0RvYy54bWysU02P2jAQvVfqf7B8LwkpLDQirOiuqCqh&#10;3ZXYas/GsUkkx+PahoT++o6d8KFtT1Uvk7HfZD7eGy/uu0aRo7CuBl3Q8SilRGgOZa33Bf3xuv40&#10;p8R5pkumQIuCnoSj98uPHxatyUUGFahSWIJJtMtbU9DKe5MnieOVaJgbgREaQQm2YR6Pdp+UlrWY&#10;vVFJlqZ3SQu2NBa4cA5vH3uQLmN+KQX3z1I64YkqKPbmo7XR7oJNlguW7y0zVc2HNtg/dNGwWmPR&#10;S6pH5hk52PqPVE3NLTiQfsShSUDKmos4A04zTt9Ns62YEXEWJMeZC03u/6XlT8etebHEd1+hQwED&#10;Ia1xucPLME8nbRO+2ClBHCk8XWgTnSccLyezeTbPEOKIzbJxOsmmIU9y/d1Y578JaEhwCmpRl0gX&#10;O26c70PPIaGahnWtVNRGadIW9O7zNI0/XBBMrjTWuDYbPN/tumGCHZQnHMxCr7kzfF1j8Q1z/oVZ&#10;FBkbxsX1z2ikAiwCg0dJBfbX3+5DPHKPKCUtLk1B3c8Ds4IS9V2jKl/Gk0nYsniYTGeBFHuL7G4R&#10;fWgeAPdyjE/E8OiGeK/OrrTQvOF+r0JVhJjmWLug/uw++H6V8X1wsVrFINwrw/xGbw0PqQOdgdrX&#10;7o1ZM/DvUbonOK8Xy9/J0Mf2QqwOHmQdNQoE96wOvONORpWH9xOW/vYco66vfPkbAAD//wMAUEsD&#10;BBQABgAIAAAAIQCBimb65AAAAAwBAAAPAAAAZHJzL2Rvd25yZXYueG1sTI/LTsMwEEX3SPyDNUjs&#10;qIOblibEqapIFRKCRUs37CbxNInwI8RuG/h6zAqWozm699xiPRnNzjT63lkJ97MEGNnGqd62Eg5v&#10;27sVMB/QKtTOkoQv8rAur68KzJW72B2d96FlMcT6HCV0IQw5577pyKCfuYFs/B3daDDEc2y5GvES&#10;w43mIkmW3GBvY0OHA1UdNR/7k5HwXG1fcVcLs/rW1dPLcTN8Ht4XUt7eTJtHYIGm8AfDr35UhzI6&#10;1e5klWdagkjncUuQMBciBRaJLFsKYHVE08VDBrws+P8R5Q8AAAD//wMAUEsBAi0AFAAGAAgAAAAh&#10;ALaDOJL+AAAA4QEAABMAAAAAAAAAAAAAAAAAAAAAAFtDb250ZW50X1R5cGVzXS54bWxQSwECLQAU&#10;AAYACAAAACEAOP0h/9YAAACUAQAACwAAAAAAAAAAAAAAAAAvAQAAX3JlbHMvLnJlbHNQSwECLQAU&#10;AAYACAAAACEA4jxwuRcCAAAtBAAADgAAAAAAAAAAAAAAAAAuAgAAZHJzL2Uyb0RvYy54bWxQSwEC&#10;LQAUAAYACAAAACEAgYpm+uQAAAAMAQAADwAAAAAAAAAAAAAAAABxBAAAZHJzL2Rvd25yZXYueG1s&#10;UEsFBgAAAAAEAAQA8wAAAIIFAAAAAA==&#10;" filled="f" stroked="f" strokeweight=".5pt">
                    <v:textbox>
                      <w:txbxContent>
                        <w:p w14:paraId="30A25159" w14:textId="66E420E7" w:rsidR="00D44685" w:rsidRPr="00EF5C90" w:rsidRDefault="00F161B1">
                          <w:pPr>
                            <w:pStyle w:val="FrontPageTitle"/>
                            <w:rPr>
                              <w:color w:val="538135" w:themeColor="accent6" w:themeShade="BF"/>
                            </w:rPr>
                          </w:pPr>
                          <w:r w:rsidRPr="00EF5C90">
                            <w:rPr>
                              <w:color w:val="538135" w:themeColor="accent6" w:themeShade="BF"/>
                            </w:rPr>
                            <w:t>Community Justice Outcome Activity Annual Report</w:t>
                          </w:r>
                          <w:r w:rsidR="006674EB" w:rsidRPr="00EF5C90">
                            <w:rPr>
                              <w:color w:val="538135" w:themeColor="accent6" w:themeShade="BF"/>
                            </w:rPr>
                            <w:t xml:space="preserve"> </w:t>
                          </w:r>
                        </w:p>
                        <w:p w14:paraId="4785DA3B" w14:textId="74FC69CF" w:rsidR="00D44685" w:rsidRPr="00EF5C90" w:rsidRDefault="00F865DD">
                          <w:pPr>
                            <w:spacing w:line="192" w:lineRule="auto"/>
                            <w:rPr>
                              <w:color w:val="538135" w:themeColor="accent6" w:themeShade="BF"/>
                            </w:rPr>
                          </w:pPr>
                          <w:r w:rsidRPr="00EF5C90">
                            <w:rPr>
                              <w:rFonts w:eastAsiaTheme="minorEastAsia"/>
                              <w:color w:val="538135" w:themeColor="accent6" w:themeShade="BF"/>
                              <w:spacing w:val="15"/>
                            </w:rPr>
                            <w:t>2023-2024</w:t>
                          </w:r>
                        </w:p>
                        <w:p w14:paraId="7511DDE0" w14:textId="77777777" w:rsidR="00D44685" w:rsidRDefault="00D44685">
                          <w:pPr>
                            <w:spacing w:line="192" w:lineRule="auto"/>
                            <w:rPr>
                              <w:color w:val="3B3838" w:themeColor="background2" w:themeShade="40"/>
                            </w:rPr>
                          </w:pPr>
                        </w:p>
                        <w:p w14:paraId="6116E4DB" w14:textId="77777777" w:rsidR="00D44685" w:rsidRDefault="00D44685">
                          <w:pPr>
                            <w:spacing w:line="192" w:lineRule="auto"/>
                            <w:rPr>
                              <w:color w:val="3B3838" w:themeColor="background2" w:themeShade="40"/>
                            </w:rPr>
                          </w:pPr>
                        </w:p>
                        <w:p w14:paraId="573788BB" w14:textId="77777777" w:rsidR="00D87170" w:rsidRDefault="00D87170">
                          <w:pPr>
                            <w:spacing w:line="192" w:lineRule="auto"/>
                            <w:rPr>
                              <w:color w:val="3B3838" w:themeColor="background2" w:themeShade="40"/>
                            </w:rPr>
                          </w:pPr>
                        </w:p>
                        <w:p w14:paraId="7A03EE3F" w14:textId="77777777" w:rsidR="00D87170" w:rsidRDefault="00D87170">
                          <w:pPr>
                            <w:spacing w:line="192" w:lineRule="auto"/>
                            <w:rPr>
                              <w:color w:val="3B3838" w:themeColor="background2" w:themeShade="40"/>
                            </w:rPr>
                          </w:pPr>
                        </w:p>
                        <w:p w14:paraId="18AB1AC6" w14:textId="77777777" w:rsidR="00D87170" w:rsidRDefault="00D87170">
                          <w:pPr>
                            <w:spacing w:line="192" w:lineRule="auto"/>
                            <w:rPr>
                              <w:color w:val="3B3838" w:themeColor="background2" w:themeShade="40"/>
                            </w:rPr>
                          </w:pPr>
                        </w:p>
                        <w:p w14:paraId="44CA3E78" w14:textId="77777777" w:rsidR="00D87170" w:rsidRDefault="00D87170">
                          <w:pPr>
                            <w:spacing w:line="192" w:lineRule="auto"/>
                            <w:rPr>
                              <w:color w:val="3B3838" w:themeColor="background2" w:themeShade="40"/>
                            </w:rPr>
                          </w:pPr>
                        </w:p>
                        <w:p w14:paraId="090D998A" w14:textId="77777777" w:rsidR="00D87170" w:rsidRDefault="00D87170">
                          <w:pPr>
                            <w:spacing w:line="192" w:lineRule="auto"/>
                            <w:rPr>
                              <w:color w:val="3B3838" w:themeColor="background2" w:themeShade="40"/>
                            </w:rPr>
                          </w:pPr>
                        </w:p>
                        <w:p w14:paraId="5060EFED" w14:textId="77777777" w:rsidR="00D87170" w:rsidRDefault="00D87170">
                          <w:pPr>
                            <w:spacing w:line="192" w:lineRule="auto"/>
                            <w:rPr>
                              <w:color w:val="3B3838" w:themeColor="background2" w:themeShade="40"/>
                            </w:rPr>
                          </w:pPr>
                        </w:p>
                        <w:p w14:paraId="2DD1D7A3" w14:textId="77777777" w:rsidR="00D87170" w:rsidRDefault="00D87170">
                          <w:pPr>
                            <w:spacing w:line="192" w:lineRule="auto"/>
                            <w:rPr>
                              <w:color w:val="3B3838" w:themeColor="background2" w:themeShade="40"/>
                            </w:rPr>
                          </w:pPr>
                        </w:p>
                        <w:p w14:paraId="3025D145" w14:textId="77777777" w:rsidR="00D87170" w:rsidRDefault="00D87170">
                          <w:pPr>
                            <w:spacing w:line="192" w:lineRule="auto"/>
                            <w:rPr>
                              <w:color w:val="3B3838" w:themeColor="background2" w:themeShade="40"/>
                            </w:rPr>
                          </w:pPr>
                        </w:p>
                        <w:p w14:paraId="47DC0981" w14:textId="77777777" w:rsidR="00D87170" w:rsidRDefault="00D87170">
                          <w:pPr>
                            <w:spacing w:line="192" w:lineRule="auto"/>
                            <w:rPr>
                              <w:color w:val="3B3838" w:themeColor="background2" w:themeShade="40"/>
                            </w:rPr>
                          </w:pPr>
                        </w:p>
                        <w:p w14:paraId="1404F823" w14:textId="77777777" w:rsidR="00D87170" w:rsidRDefault="00D87170">
                          <w:pPr>
                            <w:spacing w:line="192" w:lineRule="auto"/>
                            <w:rPr>
                              <w:color w:val="3B3838" w:themeColor="background2" w:themeShade="40"/>
                            </w:rPr>
                          </w:pPr>
                        </w:p>
                        <w:p w14:paraId="7D947F50" w14:textId="77777777" w:rsidR="00D87170" w:rsidRDefault="00D87170">
                          <w:pPr>
                            <w:spacing w:line="192" w:lineRule="auto"/>
                            <w:rPr>
                              <w:color w:val="3B3838" w:themeColor="background2" w:themeShade="40"/>
                            </w:rPr>
                          </w:pPr>
                        </w:p>
                        <w:p w14:paraId="338A1D2C" w14:textId="77777777" w:rsidR="00D87170" w:rsidRDefault="00D87170">
                          <w:pPr>
                            <w:spacing w:line="192" w:lineRule="auto"/>
                            <w:rPr>
                              <w:color w:val="3B3838" w:themeColor="background2" w:themeShade="40"/>
                            </w:rPr>
                          </w:pPr>
                        </w:p>
                        <w:p w14:paraId="33ED2681" w14:textId="77777777" w:rsidR="00D87170" w:rsidRDefault="00D87170">
                          <w:pPr>
                            <w:spacing w:line="192" w:lineRule="auto"/>
                            <w:rPr>
                              <w:color w:val="3B3838" w:themeColor="background2" w:themeShade="40"/>
                            </w:rPr>
                          </w:pPr>
                        </w:p>
                        <w:p w14:paraId="36329A6C" w14:textId="77777777" w:rsidR="00D87170" w:rsidRDefault="00D87170">
                          <w:pPr>
                            <w:spacing w:line="192" w:lineRule="auto"/>
                            <w:rPr>
                              <w:color w:val="3B3838" w:themeColor="background2" w:themeShade="40"/>
                            </w:rPr>
                          </w:pPr>
                        </w:p>
                        <w:p w14:paraId="702A710B" w14:textId="77777777" w:rsidR="00D87170" w:rsidRDefault="00D87170">
                          <w:pPr>
                            <w:spacing w:line="192" w:lineRule="auto"/>
                            <w:rPr>
                              <w:color w:val="3B3838" w:themeColor="background2" w:themeShade="40"/>
                            </w:rPr>
                          </w:pPr>
                        </w:p>
                        <w:p w14:paraId="20708BF0" w14:textId="77777777" w:rsidR="00D87170" w:rsidRDefault="00D87170">
                          <w:pPr>
                            <w:spacing w:line="192" w:lineRule="auto"/>
                            <w:rPr>
                              <w:color w:val="3B3838" w:themeColor="background2" w:themeShade="40"/>
                            </w:rPr>
                          </w:pPr>
                        </w:p>
                        <w:p w14:paraId="75F5AB51" w14:textId="55CA2FB5" w:rsidR="00D87170" w:rsidRPr="00D87170" w:rsidRDefault="00D87170" w:rsidP="00D87170">
                          <w:pPr>
                            <w:spacing w:line="192" w:lineRule="auto"/>
                            <w:rPr>
                              <w:b/>
                              <w:bCs/>
                              <w:color w:val="3B3838" w:themeColor="background2" w:themeShade="40"/>
                            </w:rPr>
                          </w:pPr>
                          <w:r>
                            <w:rPr>
                              <w:color w:val="3B3838" w:themeColor="background2" w:themeShade="40"/>
                            </w:rPr>
                            <w:t xml:space="preserve">Laid </w:t>
                          </w:r>
                          <w:r w:rsidR="00ED23AA">
                            <w:rPr>
                              <w:color w:val="3B3838" w:themeColor="background2" w:themeShade="40"/>
                            </w:rPr>
                            <w:t>b</w:t>
                          </w:r>
                          <w:r>
                            <w:rPr>
                              <w:color w:val="3B3838" w:themeColor="background2" w:themeShade="40"/>
                            </w:rPr>
                            <w:t xml:space="preserve">efore the Scottish Parliament by Community Justice Scotland under section 27 of the Community Justice (Scotland) Act 2016 </w:t>
                          </w:r>
                          <w:r w:rsidRPr="00B456C1">
                            <w:rPr>
                              <w:color w:val="3B3838" w:themeColor="background2" w:themeShade="40"/>
                            </w:rPr>
                            <w:t>SG/2025/29</w:t>
                          </w:r>
                          <w:r w:rsidR="007A2E50">
                            <w:rPr>
                              <w:color w:val="3B3838" w:themeColor="background2" w:themeShade="40"/>
                            </w:rPr>
                            <w:t>.</w:t>
                          </w:r>
                        </w:p>
                        <w:p w14:paraId="7AF9445C" w14:textId="77777777" w:rsidR="00D87170" w:rsidRPr="00CA4075" w:rsidRDefault="00D87170">
                          <w:pPr>
                            <w:spacing w:line="192" w:lineRule="auto"/>
                            <w:rPr>
                              <w:color w:val="3B3838" w:themeColor="background2" w:themeShade="40"/>
                            </w:rPr>
                          </w:pPr>
                        </w:p>
                      </w:txbxContent>
                    </v:textbox>
                  </v:shape>
                </w:pict>
              </mc:Fallback>
            </mc:AlternateContent>
          </w:r>
          <w:r w:rsidR="00D44685" w:rsidRPr="00623EE6">
            <w:rPr>
              <w:noProof/>
              <w:color w:val="auto"/>
            </w:rPr>
            <w:drawing>
              <wp:anchor distT="0" distB="0" distL="114300" distR="114300" simplePos="0" relativeHeight="251661312" behindDoc="1" locked="0" layoutInCell="1" allowOverlap="1" wp14:anchorId="46EE5AF6" wp14:editId="18653F76">
                <wp:simplePos x="0" y="0"/>
                <wp:positionH relativeFrom="column">
                  <wp:posOffset>-5218430</wp:posOffset>
                </wp:positionH>
                <wp:positionV relativeFrom="page">
                  <wp:posOffset>3950335</wp:posOffset>
                </wp:positionV>
                <wp:extent cx="10670540" cy="2792730"/>
                <wp:effectExtent l="1905"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3" cstate="email">
                          <a:extLst>
                            <a:ext uri="{28A0092B-C50C-407E-A947-70E740481C1C}">
                              <a14:useLocalDpi xmlns:a14="http://schemas.microsoft.com/office/drawing/2010/main"/>
                            </a:ext>
                          </a:extLst>
                        </a:blip>
                        <a:srcRect r="-1"/>
                        <a:stretch/>
                      </pic:blipFill>
                      <pic:spPr bwMode="auto">
                        <a:xfrm rot="5400000">
                          <a:off x="0" y="0"/>
                          <a:ext cx="10670540" cy="2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85" w:rsidRPr="00623EE6">
            <w:rPr>
              <w:color w:val="auto"/>
            </w:rPr>
            <w:br w:type="page"/>
          </w:r>
        </w:p>
      </w:sdtContent>
    </w:sdt>
    <w:sdt>
      <w:sdtPr>
        <w:rPr>
          <w:rFonts w:ascii="Roboto" w:eastAsiaTheme="minorHAnsi" w:hAnsi="Roboto" w:cstheme="minorBidi"/>
          <w:color w:val="222A35" w:themeColor="text2" w:themeShade="80"/>
          <w:sz w:val="24"/>
          <w:szCs w:val="22"/>
          <w:lang w:eastAsia="en-US"/>
        </w:rPr>
        <w:id w:val="-164163432"/>
        <w:docPartObj>
          <w:docPartGallery w:val="Table of Contents"/>
          <w:docPartUnique/>
        </w:docPartObj>
      </w:sdtPr>
      <w:sdtEndPr>
        <w:rPr>
          <w:b/>
          <w:bCs/>
          <w:color w:val="auto"/>
        </w:rPr>
      </w:sdtEndPr>
      <w:sdtContent>
        <w:p w14:paraId="4242A4DC" w14:textId="066F6903" w:rsidR="003F19B9" w:rsidRPr="00623EE6" w:rsidRDefault="003F19B9" w:rsidP="00B456C1">
          <w:pPr>
            <w:pStyle w:val="TOCHeading"/>
          </w:pPr>
          <w:r w:rsidRPr="00623EE6">
            <w:t>Contents</w:t>
          </w:r>
        </w:p>
        <w:p w14:paraId="34D5245B" w14:textId="42A8AC43" w:rsidR="009D0A7E" w:rsidRDefault="00D74D8F">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r w:rsidRPr="00623EE6">
            <w:rPr>
              <w:rFonts w:ascii="Roboto Light" w:hAnsi="Roboto Light"/>
              <w:color w:val="auto"/>
              <w:sz w:val="24"/>
            </w:rPr>
            <w:fldChar w:fldCharType="begin"/>
          </w:r>
          <w:r w:rsidRPr="00623EE6">
            <w:rPr>
              <w:color w:val="auto"/>
            </w:rPr>
            <w:instrText xml:space="preserve"> TOC \o "1-2" \h \z \u </w:instrText>
          </w:r>
          <w:r w:rsidRPr="00623EE6">
            <w:rPr>
              <w:rFonts w:ascii="Roboto Light" w:hAnsi="Roboto Light"/>
              <w:color w:val="auto"/>
              <w:sz w:val="24"/>
            </w:rPr>
            <w:fldChar w:fldCharType="separate"/>
          </w:r>
          <w:hyperlink w:anchor="_Toc193901780" w:history="1">
            <w:r w:rsidR="009D0A7E" w:rsidRPr="00741FA8">
              <w:rPr>
                <w:rStyle w:val="Hyperlink"/>
                <w:noProof/>
              </w:rPr>
              <w:t>The community justice landscape</w:t>
            </w:r>
            <w:r w:rsidR="009D0A7E">
              <w:rPr>
                <w:noProof/>
                <w:webHidden/>
              </w:rPr>
              <w:tab/>
            </w:r>
            <w:r w:rsidR="009D0A7E">
              <w:rPr>
                <w:noProof/>
                <w:webHidden/>
              </w:rPr>
              <w:fldChar w:fldCharType="begin"/>
            </w:r>
            <w:r w:rsidR="009D0A7E">
              <w:rPr>
                <w:noProof/>
                <w:webHidden/>
              </w:rPr>
              <w:instrText xml:space="preserve"> PAGEREF _Toc193901780 \h </w:instrText>
            </w:r>
            <w:r w:rsidR="009D0A7E">
              <w:rPr>
                <w:noProof/>
                <w:webHidden/>
              </w:rPr>
            </w:r>
            <w:r w:rsidR="009D0A7E">
              <w:rPr>
                <w:noProof/>
                <w:webHidden/>
              </w:rPr>
              <w:fldChar w:fldCharType="separate"/>
            </w:r>
            <w:r w:rsidR="00883114">
              <w:rPr>
                <w:noProof/>
                <w:webHidden/>
              </w:rPr>
              <w:t>3</w:t>
            </w:r>
            <w:r w:rsidR="009D0A7E">
              <w:rPr>
                <w:noProof/>
                <w:webHidden/>
              </w:rPr>
              <w:fldChar w:fldCharType="end"/>
            </w:r>
          </w:hyperlink>
        </w:p>
        <w:p w14:paraId="6FE07EC3" w14:textId="742EBF8A"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81" w:history="1">
            <w:r w:rsidRPr="00741FA8">
              <w:rPr>
                <w:rStyle w:val="Hyperlink"/>
                <w:noProof/>
              </w:rPr>
              <w:t>Foreword</w:t>
            </w:r>
            <w:r>
              <w:rPr>
                <w:noProof/>
                <w:webHidden/>
              </w:rPr>
              <w:tab/>
            </w:r>
            <w:r>
              <w:rPr>
                <w:noProof/>
                <w:webHidden/>
              </w:rPr>
              <w:fldChar w:fldCharType="begin"/>
            </w:r>
            <w:r>
              <w:rPr>
                <w:noProof/>
                <w:webHidden/>
              </w:rPr>
              <w:instrText xml:space="preserve"> PAGEREF _Toc193901781 \h </w:instrText>
            </w:r>
            <w:r>
              <w:rPr>
                <w:noProof/>
                <w:webHidden/>
              </w:rPr>
            </w:r>
            <w:r>
              <w:rPr>
                <w:noProof/>
                <w:webHidden/>
              </w:rPr>
              <w:fldChar w:fldCharType="separate"/>
            </w:r>
            <w:r w:rsidR="00883114">
              <w:rPr>
                <w:noProof/>
                <w:webHidden/>
              </w:rPr>
              <w:t>6</w:t>
            </w:r>
            <w:r>
              <w:rPr>
                <w:noProof/>
                <w:webHidden/>
              </w:rPr>
              <w:fldChar w:fldCharType="end"/>
            </w:r>
          </w:hyperlink>
        </w:p>
        <w:p w14:paraId="126BF887" w14:textId="78ED1F1E"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82" w:history="1">
            <w:r w:rsidRPr="00741FA8">
              <w:rPr>
                <w:rStyle w:val="Hyperlink"/>
                <w:noProof/>
              </w:rPr>
              <w:t>Introduction</w:t>
            </w:r>
            <w:r>
              <w:rPr>
                <w:noProof/>
                <w:webHidden/>
              </w:rPr>
              <w:tab/>
            </w:r>
            <w:r>
              <w:rPr>
                <w:noProof/>
                <w:webHidden/>
              </w:rPr>
              <w:fldChar w:fldCharType="begin"/>
            </w:r>
            <w:r>
              <w:rPr>
                <w:noProof/>
                <w:webHidden/>
              </w:rPr>
              <w:instrText xml:space="preserve"> PAGEREF _Toc193901782 \h </w:instrText>
            </w:r>
            <w:r>
              <w:rPr>
                <w:noProof/>
                <w:webHidden/>
              </w:rPr>
            </w:r>
            <w:r>
              <w:rPr>
                <w:noProof/>
                <w:webHidden/>
              </w:rPr>
              <w:fldChar w:fldCharType="separate"/>
            </w:r>
            <w:r w:rsidR="00883114">
              <w:rPr>
                <w:noProof/>
                <w:webHidden/>
              </w:rPr>
              <w:t>8</w:t>
            </w:r>
            <w:r>
              <w:rPr>
                <w:noProof/>
                <w:webHidden/>
              </w:rPr>
              <w:fldChar w:fldCharType="end"/>
            </w:r>
          </w:hyperlink>
        </w:p>
        <w:p w14:paraId="532A05EB" w14:textId="62DE34D5"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83" w:history="1">
            <w:r w:rsidRPr="00741FA8">
              <w:rPr>
                <w:rStyle w:val="Hyperlink"/>
                <w:noProof/>
              </w:rPr>
              <w:t>High-level performance</w:t>
            </w:r>
            <w:r>
              <w:rPr>
                <w:noProof/>
                <w:webHidden/>
              </w:rPr>
              <w:tab/>
            </w:r>
            <w:r>
              <w:rPr>
                <w:noProof/>
                <w:webHidden/>
              </w:rPr>
              <w:fldChar w:fldCharType="begin"/>
            </w:r>
            <w:r>
              <w:rPr>
                <w:noProof/>
                <w:webHidden/>
              </w:rPr>
              <w:instrText xml:space="preserve"> PAGEREF _Toc193901783 \h </w:instrText>
            </w:r>
            <w:r>
              <w:rPr>
                <w:noProof/>
                <w:webHidden/>
              </w:rPr>
            </w:r>
            <w:r>
              <w:rPr>
                <w:noProof/>
                <w:webHidden/>
              </w:rPr>
              <w:fldChar w:fldCharType="separate"/>
            </w:r>
            <w:r w:rsidR="00883114">
              <w:rPr>
                <w:noProof/>
                <w:webHidden/>
              </w:rPr>
              <w:t>10</w:t>
            </w:r>
            <w:r>
              <w:rPr>
                <w:noProof/>
                <w:webHidden/>
              </w:rPr>
              <w:fldChar w:fldCharType="end"/>
            </w:r>
          </w:hyperlink>
        </w:p>
        <w:p w14:paraId="0E31EF07" w14:textId="560006BA"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84" w:history="1">
            <w:r w:rsidRPr="00741FA8">
              <w:rPr>
                <w:rStyle w:val="Hyperlink"/>
                <w:noProof/>
              </w:rPr>
              <w:t>Recommendations and next steps</w:t>
            </w:r>
            <w:r>
              <w:rPr>
                <w:noProof/>
                <w:webHidden/>
              </w:rPr>
              <w:tab/>
            </w:r>
            <w:r>
              <w:rPr>
                <w:noProof/>
                <w:webHidden/>
              </w:rPr>
              <w:fldChar w:fldCharType="begin"/>
            </w:r>
            <w:r>
              <w:rPr>
                <w:noProof/>
                <w:webHidden/>
              </w:rPr>
              <w:instrText xml:space="preserve"> PAGEREF _Toc193901784 \h </w:instrText>
            </w:r>
            <w:r>
              <w:rPr>
                <w:noProof/>
                <w:webHidden/>
              </w:rPr>
            </w:r>
            <w:r>
              <w:rPr>
                <w:noProof/>
                <w:webHidden/>
              </w:rPr>
              <w:fldChar w:fldCharType="separate"/>
            </w:r>
            <w:r w:rsidR="00883114">
              <w:rPr>
                <w:noProof/>
                <w:webHidden/>
              </w:rPr>
              <w:t>15</w:t>
            </w:r>
            <w:r>
              <w:rPr>
                <w:noProof/>
                <w:webHidden/>
              </w:rPr>
              <w:fldChar w:fldCharType="end"/>
            </w:r>
          </w:hyperlink>
        </w:p>
        <w:p w14:paraId="2CAB8D2D" w14:textId="01D92D36"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85" w:history="1">
            <w:r w:rsidRPr="00741FA8">
              <w:rPr>
                <w:rStyle w:val="Hyperlink"/>
                <w:noProof/>
              </w:rPr>
              <w:t>National Aim 1: Optimise the use of diversion and intervention at the earliest opportunity</w:t>
            </w:r>
            <w:r>
              <w:rPr>
                <w:noProof/>
                <w:webHidden/>
              </w:rPr>
              <w:tab/>
            </w:r>
            <w:r>
              <w:rPr>
                <w:noProof/>
                <w:webHidden/>
              </w:rPr>
              <w:fldChar w:fldCharType="begin"/>
            </w:r>
            <w:r>
              <w:rPr>
                <w:noProof/>
                <w:webHidden/>
              </w:rPr>
              <w:instrText xml:space="preserve"> PAGEREF _Toc193901785 \h </w:instrText>
            </w:r>
            <w:r>
              <w:rPr>
                <w:noProof/>
                <w:webHidden/>
              </w:rPr>
            </w:r>
            <w:r>
              <w:rPr>
                <w:noProof/>
                <w:webHidden/>
              </w:rPr>
              <w:fldChar w:fldCharType="separate"/>
            </w:r>
            <w:r w:rsidR="00883114">
              <w:rPr>
                <w:noProof/>
                <w:webHidden/>
              </w:rPr>
              <w:t>22</w:t>
            </w:r>
            <w:r>
              <w:rPr>
                <w:noProof/>
                <w:webHidden/>
              </w:rPr>
              <w:fldChar w:fldCharType="end"/>
            </w:r>
          </w:hyperlink>
        </w:p>
        <w:p w14:paraId="4C53C293" w14:textId="71B220A1"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86" w:history="1">
            <w:r w:rsidRPr="00741FA8">
              <w:rPr>
                <w:rStyle w:val="Hyperlink"/>
                <w:noProof/>
              </w:rPr>
              <w:t>Priority Action 1: Enhance intervention at the earliest opportunity by ensuring greater consistency, confidence in and awareness of services which support the use of direct measures and diversion from prosecution</w:t>
            </w:r>
            <w:r>
              <w:rPr>
                <w:noProof/>
                <w:webHidden/>
              </w:rPr>
              <w:tab/>
            </w:r>
            <w:r>
              <w:rPr>
                <w:noProof/>
                <w:webHidden/>
              </w:rPr>
              <w:fldChar w:fldCharType="begin"/>
            </w:r>
            <w:r>
              <w:rPr>
                <w:noProof/>
                <w:webHidden/>
              </w:rPr>
              <w:instrText xml:space="preserve"> PAGEREF _Toc193901786 \h </w:instrText>
            </w:r>
            <w:r>
              <w:rPr>
                <w:noProof/>
                <w:webHidden/>
              </w:rPr>
            </w:r>
            <w:r>
              <w:rPr>
                <w:noProof/>
                <w:webHidden/>
              </w:rPr>
              <w:fldChar w:fldCharType="separate"/>
            </w:r>
            <w:r w:rsidR="00883114">
              <w:rPr>
                <w:noProof/>
                <w:webHidden/>
              </w:rPr>
              <w:t>22</w:t>
            </w:r>
            <w:r>
              <w:rPr>
                <w:noProof/>
                <w:webHidden/>
              </w:rPr>
              <w:fldChar w:fldCharType="end"/>
            </w:r>
          </w:hyperlink>
        </w:p>
        <w:p w14:paraId="445C6954" w14:textId="23A40E9E"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87" w:history="1">
            <w:r w:rsidRPr="00741FA8">
              <w:rPr>
                <w:rStyle w:val="Hyperlink"/>
                <w:noProof/>
              </w:rPr>
              <w:t>Priority Action 2: Improve the identification of underlying needs and the delivery of support following arrest by ensuring the provision of person-centred care within police custody and building upon referral opportunities to services including substance use and mental health services</w:t>
            </w:r>
            <w:r>
              <w:rPr>
                <w:noProof/>
                <w:webHidden/>
              </w:rPr>
              <w:tab/>
            </w:r>
            <w:r>
              <w:rPr>
                <w:noProof/>
                <w:webHidden/>
              </w:rPr>
              <w:fldChar w:fldCharType="begin"/>
            </w:r>
            <w:r>
              <w:rPr>
                <w:noProof/>
                <w:webHidden/>
              </w:rPr>
              <w:instrText xml:space="preserve"> PAGEREF _Toc193901787 \h </w:instrText>
            </w:r>
            <w:r>
              <w:rPr>
                <w:noProof/>
                <w:webHidden/>
              </w:rPr>
            </w:r>
            <w:r>
              <w:rPr>
                <w:noProof/>
                <w:webHidden/>
              </w:rPr>
              <w:fldChar w:fldCharType="separate"/>
            </w:r>
            <w:r w:rsidR="00883114">
              <w:rPr>
                <w:noProof/>
                <w:webHidden/>
              </w:rPr>
              <w:t>28</w:t>
            </w:r>
            <w:r>
              <w:rPr>
                <w:noProof/>
                <w:webHidden/>
              </w:rPr>
              <w:fldChar w:fldCharType="end"/>
            </w:r>
          </w:hyperlink>
        </w:p>
        <w:p w14:paraId="284192E2" w14:textId="07927D3A"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88" w:history="1">
            <w:r w:rsidRPr="00741FA8">
              <w:rPr>
                <w:rStyle w:val="Hyperlink"/>
                <w:rFonts w:cs="Times New Roman"/>
                <w:noProof/>
              </w:rPr>
              <w:t>National Aim 2: Ensure that robust and high-quality community interventions and public protection arrangements are consistently available across Scotland</w:t>
            </w:r>
            <w:r>
              <w:rPr>
                <w:noProof/>
                <w:webHidden/>
              </w:rPr>
              <w:tab/>
            </w:r>
            <w:r>
              <w:rPr>
                <w:noProof/>
                <w:webHidden/>
              </w:rPr>
              <w:fldChar w:fldCharType="begin"/>
            </w:r>
            <w:r>
              <w:rPr>
                <w:noProof/>
                <w:webHidden/>
              </w:rPr>
              <w:instrText xml:space="preserve"> PAGEREF _Toc193901788 \h </w:instrText>
            </w:r>
            <w:r>
              <w:rPr>
                <w:noProof/>
                <w:webHidden/>
              </w:rPr>
            </w:r>
            <w:r>
              <w:rPr>
                <w:noProof/>
                <w:webHidden/>
              </w:rPr>
              <w:fldChar w:fldCharType="separate"/>
            </w:r>
            <w:r w:rsidR="00883114">
              <w:rPr>
                <w:noProof/>
                <w:webHidden/>
              </w:rPr>
              <w:t>32</w:t>
            </w:r>
            <w:r>
              <w:rPr>
                <w:noProof/>
                <w:webHidden/>
              </w:rPr>
              <w:fldChar w:fldCharType="end"/>
            </w:r>
          </w:hyperlink>
        </w:p>
        <w:p w14:paraId="76ACB9FF" w14:textId="62C78974"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89" w:history="1">
            <w:r w:rsidRPr="00741FA8">
              <w:rPr>
                <w:rStyle w:val="Hyperlink"/>
                <w:rFonts w:eastAsiaTheme="majorEastAsia" w:cstheme="majorBidi"/>
                <w:b/>
                <w:noProof/>
              </w:rPr>
              <w:t>Priority Action 3: Support the use of robust alternatives to remand by ensuring high-quality bail services are consistently available and delivered effectively</w:t>
            </w:r>
            <w:r>
              <w:rPr>
                <w:noProof/>
                <w:webHidden/>
              </w:rPr>
              <w:tab/>
            </w:r>
            <w:r>
              <w:rPr>
                <w:noProof/>
                <w:webHidden/>
              </w:rPr>
              <w:fldChar w:fldCharType="begin"/>
            </w:r>
            <w:r>
              <w:rPr>
                <w:noProof/>
                <w:webHidden/>
              </w:rPr>
              <w:instrText xml:space="preserve"> PAGEREF _Toc193901789 \h </w:instrText>
            </w:r>
            <w:r>
              <w:rPr>
                <w:noProof/>
                <w:webHidden/>
              </w:rPr>
            </w:r>
            <w:r>
              <w:rPr>
                <w:noProof/>
                <w:webHidden/>
              </w:rPr>
              <w:fldChar w:fldCharType="separate"/>
            </w:r>
            <w:r w:rsidR="00883114">
              <w:rPr>
                <w:noProof/>
                <w:webHidden/>
              </w:rPr>
              <w:t>32</w:t>
            </w:r>
            <w:r>
              <w:rPr>
                <w:noProof/>
                <w:webHidden/>
              </w:rPr>
              <w:fldChar w:fldCharType="end"/>
            </w:r>
          </w:hyperlink>
        </w:p>
        <w:p w14:paraId="5B6859EE" w14:textId="2F8AA71F"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0" w:history="1">
            <w:r w:rsidRPr="00741FA8">
              <w:rPr>
                <w:rStyle w:val="Hyperlink"/>
                <w:rFonts w:eastAsiaTheme="majorEastAsia" w:cstheme="majorBidi"/>
                <w:b/>
                <w:noProof/>
              </w:rPr>
              <w:t>Priority Action 4: Strengthen options for safe and supported management in the community by increasing and widening the use of electronic monitoring technologies</w:t>
            </w:r>
            <w:r>
              <w:rPr>
                <w:noProof/>
                <w:webHidden/>
              </w:rPr>
              <w:tab/>
            </w:r>
            <w:r>
              <w:rPr>
                <w:noProof/>
                <w:webHidden/>
              </w:rPr>
              <w:fldChar w:fldCharType="begin"/>
            </w:r>
            <w:r>
              <w:rPr>
                <w:noProof/>
                <w:webHidden/>
              </w:rPr>
              <w:instrText xml:space="preserve"> PAGEREF _Toc193901790 \h </w:instrText>
            </w:r>
            <w:r>
              <w:rPr>
                <w:noProof/>
                <w:webHidden/>
              </w:rPr>
            </w:r>
            <w:r>
              <w:rPr>
                <w:noProof/>
                <w:webHidden/>
              </w:rPr>
              <w:fldChar w:fldCharType="separate"/>
            </w:r>
            <w:r w:rsidR="00883114">
              <w:rPr>
                <w:noProof/>
                <w:webHidden/>
              </w:rPr>
              <w:t>37</w:t>
            </w:r>
            <w:r>
              <w:rPr>
                <w:noProof/>
                <w:webHidden/>
              </w:rPr>
              <w:fldChar w:fldCharType="end"/>
            </w:r>
          </w:hyperlink>
        </w:p>
        <w:p w14:paraId="4D4EE7B0" w14:textId="7AC49640"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1" w:history="1">
            <w:r w:rsidRPr="00741FA8">
              <w:rPr>
                <w:rStyle w:val="Hyperlink"/>
                <w:noProof/>
              </w:rPr>
              <w:t>Priority Action 5: Ensure that those given community sentences are supervised and supported appropriately to protect the public, promote desistance from offending and enable rehabilitation by delivering high-quality, consistently available, trauma-informed services and programmes</w:t>
            </w:r>
            <w:r>
              <w:rPr>
                <w:noProof/>
                <w:webHidden/>
              </w:rPr>
              <w:tab/>
            </w:r>
            <w:r>
              <w:rPr>
                <w:noProof/>
                <w:webHidden/>
              </w:rPr>
              <w:fldChar w:fldCharType="begin"/>
            </w:r>
            <w:r>
              <w:rPr>
                <w:noProof/>
                <w:webHidden/>
              </w:rPr>
              <w:instrText xml:space="preserve"> PAGEREF _Toc193901791 \h </w:instrText>
            </w:r>
            <w:r>
              <w:rPr>
                <w:noProof/>
                <w:webHidden/>
              </w:rPr>
            </w:r>
            <w:r>
              <w:rPr>
                <w:noProof/>
                <w:webHidden/>
              </w:rPr>
              <w:fldChar w:fldCharType="separate"/>
            </w:r>
            <w:r w:rsidR="00883114">
              <w:rPr>
                <w:noProof/>
                <w:webHidden/>
              </w:rPr>
              <w:t>39</w:t>
            </w:r>
            <w:r>
              <w:rPr>
                <w:noProof/>
                <w:webHidden/>
              </w:rPr>
              <w:fldChar w:fldCharType="end"/>
            </w:r>
          </w:hyperlink>
        </w:p>
        <w:p w14:paraId="671B17D0" w14:textId="0A364C56"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2" w:history="1">
            <w:r w:rsidRPr="00741FA8">
              <w:rPr>
                <w:rStyle w:val="Hyperlink"/>
                <w:noProof/>
              </w:rPr>
              <w:t>Priority Action 6: Ensure restorative justice is available across Scotland to all those who wish to access it by promoting and supporting the appropriate and safe provision of available services</w:t>
            </w:r>
            <w:r>
              <w:rPr>
                <w:noProof/>
                <w:webHidden/>
              </w:rPr>
              <w:tab/>
            </w:r>
            <w:r>
              <w:rPr>
                <w:noProof/>
                <w:webHidden/>
              </w:rPr>
              <w:fldChar w:fldCharType="begin"/>
            </w:r>
            <w:r>
              <w:rPr>
                <w:noProof/>
                <w:webHidden/>
              </w:rPr>
              <w:instrText xml:space="preserve"> PAGEREF _Toc193901792 \h </w:instrText>
            </w:r>
            <w:r>
              <w:rPr>
                <w:noProof/>
                <w:webHidden/>
              </w:rPr>
            </w:r>
            <w:r>
              <w:rPr>
                <w:noProof/>
                <w:webHidden/>
              </w:rPr>
              <w:fldChar w:fldCharType="separate"/>
            </w:r>
            <w:r w:rsidR="00883114">
              <w:rPr>
                <w:noProof/>
                <w:webHidden/>
              </w:rPr>
              <w:t>47</w:t>
            </w:r>
            <w:r>
              <w:rPr>
                <w:noProof/>
                <w:webHidden/>
              </w:rPr>
              <w:fldChar w:fldCharType="end"/>
            </w:r>
          </w:hyperlink>
        </w:p>
        <w:p w14:paraId="156D6E57" w14:textId="6F22599E"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93" w:history="1">
            <w:r w:rsidRPr="00741FA8">
              <w:rPr>
                <w:rStyle w:val="Hyperlink"/>
                <w:noProof/>
              </w:rPr>
              <w:t>National Aim 3. Ensure that services are accessible and available to address the needs of individuals accused or convicted of an offence</w:t>
            </w:r>
            <w:r>
              <w:rPr>
                <w:noProof/>
                <w:webHidden/>
              </w:rPr>
              <w:tab/>
            </w:r>
            <w:r>
              <w:rPr>
                <w:noProof/>
                <w:webHidden/>
              </w:rPr>
              <w:fldChar w:fldCharType="begin"/>
            </w:r>
            <w:r>
              <w:rPr>
                <w:noProof/>
                <w:webHidden/>
              </w:rPr>
              <w:instrText xml:space="preserve"> PAGEREF _Toc193901793 \h </w:instrText>
            </w:r>
            <w:r>
              <w:rPr>
                <w:noProof/>
                <w:webHidden/>
              </w:rPr>
            </w:r>
            <w:r>
              <w:rPr>
                <w:noProof/>
                <w:webHidden/>
              </w:rPr>
              <w:fldChar w:fldCharType="separate"/>
            </w:r>
            <w:r w:rsidR="00883114">
              <w:rPr>
                <w:noProof/>
                <w:webHidden/>
              </w:rPr>
              <w:t>49</w:t>
            </w:r>
            <w:r>
              <w:rPr>
                <w:noProof/>
                <w:webHidden/>
              </w:rPr>
              <w:fldChar w:fldCharType="end"/>
            </w:r>
          </w:hyperlink>
        </w:p>
        <w:p w14:paraId="222EC90A" w14:textId="34C7D546"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4" w:history="1">
            <w:r w:rsidRPr="00741FA8">
              <w:rPr>
                <w:rStyle w:val="Hyperlink"/>
                <w:noProof/>
              </w:rPr>
              <w:t>Priority Action 7: Enhance individuals’ access to health and social care and continuity of care following release from prison by improving the sharing of information and partnership working between relevant partners</w:t>
            </w:r>
            <w:r>
              <w:rPr>
                <w:noProof/>
                <w:webHidden/>
              </w:rPr>
              <w:tab/>
            </w:r>
            <w:r>
              <w:rPr>
                <w:noProof/>
                <w:webHidden/>
              </w:rPr>
              <w:fldChar w:fldCharType="begin"/>
            </w:r>
            <w:r>
              <w:rPr>
                <w:noProof/>
                <w:webHidden/>
              </w:rPr>
              <w:instrText xml:space="preserve"> PAGEREF _Toc193901794 \h </w:instrText>
            </w:r>
            <w:r>
              <w:rPr>
                <w:noProof/>
                <w:webHidden/>
              </w:rPr>
            </w:r>
            <w:r>
              <w:rPr>
                <w:noProof/>
                <w:webHidden/>
              </w:rPr>
              <w:fldChar w:fldCharType="separate"/>
            </w:r>
            <w:r w:rsidR="00883114">
              <w:rPr>
                <w:noProof/>
                <w:webHidden/>
              </w:rPr>
              <w:t>49</w:t>
            </w:r>
            <w:r>
              <w:rPr>
                <w:noProof/>
                <w:webHidden/>
              </w:rPr>
              <w:fldChar w:fldCharType="end"/>
            </w:r>
          </w:hyperlink>
        </w:p>
        <w:p w14:paraId="77E33868" w14:textId="2B0F2A84"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5" w:history="1">
            <w:r w:rsidRPr="00741FA8">
              <w:rPr>
                <w:rStyle w:val="Hyperlink"/>
                <w:noProof/>
              </w:rPr>
              <w:t>Priority Action 8: Ensure that the housing needs of individuals in prison are addressed consistently and at an early stage by fully implementing and embedding the Sustainable Housing on Release for Everyone (SHORE) standards across all local authorities</w:t>
            </w:r>
            <w:r>
              <w:rPr>
                <w:noProof/>
                <w:webHidden/>
              </w:rPr>
              <w:tab/>
            </w:r>
            <w:r>
              <w:rPr>
                <w:noProof/>
                <w:webHidden/>
              </w:rPr>
              <w:fldChar w:fldCharType="begin"/>
            </w:r>
            <w:r>
              <w:rPr>
                <w:noProof/>
                <w:webHidden/>
              </w:rPr>
              <w:instrText xml:space="preserve"> PAGEREF _Toc193901795 \h </w:instrText>
            </w:r>
            <w:r>
              <w:rPr>
                <w:noProof/>
                <w:webHidden/>
              </w:rPr>
            </w:r>
            <w:r>
              <w:rPr>
                <w:noProof/>
                <w:webHidden/>
              </w:rPr>
              <w:fldChar w:fldCharType="separate"/>
            </w:r>
            <w:r w:rsidR="00883114">
              <w:rPr>
                <w:noProof/>
                <w:webHidden/>
              </w:rPr>
              <w:t>54</w:t>
            </w:r>
            <w:r>
              <w:rPr>
                <w:noProof/>
                <w:webHidden/>
              </w:rPr>
              <w:fldChar w:fldCharType="end"/>
            </w:r>
          </w:hyperlink>
        </w:p>
        <w:p w14:paraId="62F7DB53" w14:textId="380DF71E"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6" w:history="1">
            <w:r w:rsidRPr="00741FA8">
              <w:rPr>
                <w:rStyle w:val="Hyperlink"/>
                <w:noProof/>
              </w:rPr>
              <w:t>Priority Action 9: Enhance individuals’ life skills and readiness for employment by ensuring increased access to employability support through effective education, learning, training, career services and relevant benefit services</w:t>
            </w:r>
            <w:r>
              <w:rPr>
                <w:noProof/>
                <w:webHidden/>
              </w:rPr>
              <w:tab/>
            </w:r>
            <w:r>
              <w:rPr>
                <w:noProof/>
                <w:webHidden/>
              </w:rPr>
              <w:fldChar w:fldCharType="begin"/>
            </w:r>
            <w:r>
              <w:rPr>
                <w:noProof/>
                <w:webHidden/>
              </w:rPr>
              <w:instrText xml:space="preserve"> PAGEREF _Toc193901796 \h </w:instrText>
            </w:r>
            <w:r>
              <w:rPr>
                <w:noProof/>
                <w:webHidden/>
              </w:rPr>
            </w:r>
            <w:r>
              <w:rPr>
                <w:noProof/>
                <w:webHidden/>
              </w:rPr>
              <w:fldChar w:fldCharType="separate"/>
            </w:r>
            <w:r w:rsidR="00883114">
              <w:rPr>
                <w:noProof/>
                <w:webHidden/>
              </w:rPr>
              <w:t>57</w:t>
            </w:r>
            <w:r>
              <w:rPr>
                <w:noProof/>
                <w:webHidden/>
              </w:rPr>
              <w:fldChar w:fldCharType="end"/>
            </w:r>
          </w:hyperlink>
        </w:p>
        <w:p w14:paraId="59A5EE92" w14:textId="6BB0720D"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7" w:history="1">
            <w:r w:rsidRPr="00741FA8">
              <w:rPr>
                <w:rStyle w:val="Hyperlink"/>
                <w:noProof/>
              </w:rPr>
              <w:t>Priority Action 10: Enhance community integration and support by increasing and promoting greater use of voluntary throughcare and third sector services</w:t>
            </w:r>
            <w:r>
              <w:rPr>
                <w:noProof/>
                <w:webHidden/>
              </w:rPr>
              <w:tab/>
            </w:r>
            <w:r>
              <w:rPr>
                <w:noProof/>
                <w:webHidden/>
              </w:rPr>
              <w:fldChar w:fldCharType="begin"/>
            </w:r>
            <w:r>
              <w:rPr>
                <w:noProof/>
                <w:webHidden/>
              </w:rPr>
              <w:instrText xml:space="preserve"> PAGEREF _Toc193901797 \h </w:instrText>
            </w:r>
            <w:r>
              <w:rPr>
                <w:noProof/>
                <w:webHidden/>
              </w:rPr>
            </w:r>
            <w:r>
              <w:rPr>
                <w:noProof/>
                <w:webHidden/>
              </w:rPr>
              <w:fldChar w:fldCharType="separate"/>
            </w:r>
            <w:r w:rsidR="00883114">
              <w:rPr>
                <w:noProof/>
                <w:webHidden/>
              </w:rPr>
              <w:t>59</w:t>
            </w:r>
            <w:r>
              <w:rPr>
                <w:noProof/>
                <w:webHidden/>
              </w:rPr>
              <w:fldChar w:fldCharType="end"/>
            </w:r>
          </w:hyperlink>
        </w:p>
        <w:p w14:paraId="4DBE34B3" w14:textId="68459636" w:rsidR="009D0A7E" w:rsidRDefault="009D0A7E">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3901798" w:history="1">
            <w:r w:rsidRPr="00741FA8">
              <w:rPr>
                <w:rStyle w:val="Hyperlink"/>
                <w:noProof/>
              </w:rPr>
              <w:t>National Aim 4. Strengthen the leadership, engagement, and partnership working of local and national community justice partners</w:t>
            </w:r>
            <w:r>
              <w:rPr>
                <w:noProof/>
                <w:webHidden/>
              </w:rPr>
              <w:tab/>
            </w:r>
            <w:r>
              <w:rPr>
                <w:noProof/>
                <w:webHidden/>
              </w:rPr>
              <w:fldChar w:fldCharType="begin"/>
            </w:r>
            <w:r>
              <w:rPr>
                <w:noProof/>
                <w:webHidden/>
              </w:rPr>
              <w:instrText xml:space="preserve"> PAGEREF _Toc193901798 \h </w:instrText>
            </w:r>
            <w:r>
              <w:rPr>
                <w:noProof/>
                <w:webHidden/>
              </w:rPr>
            </w:r>
            <w:r>
              <w:rPr>
                <w:noProof/>
                <w:webHidden/>
              </w:rPr>
              <w:fldChar w:fldCharType="separate"/>
            </w:r>
            <w:r w:rsidR="00883114">
              <w:rPr>
                <w:noProof/>
                <w:webHidden/>
              </w:rPr>
              <w:t>64</w:t>
            </w:r>
            <w:r>
              <w:rPr>
                <w:noProof/>
                <w:webHidden/>
              </w:rPr>
              <w:fldChar w:fldCharType="end"/>
            </w:r>
          </w:hyperlink>
        </w:p>
        <w:p w14:paraId="14F892D1" w14:textId="431B0261"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799" w:history="1">
            <w:r w:rsidRPr="00741FA8">
              <w:rPr>
                <w:rStyle w:val="Hyperlink"/>
                <w:noProof/>
              </w:rPr>
              <w:t>Priority Action 11: Deliver improved community justice outcomes by ensuring that effective leadership and governance arrangements are in place and working well, collaborating with partners and planning strategically</w:t>
            </w:r>
            <w:r>
              <w:rPr>
                <w:noProof/>
                <w:webHidden/>
              </w:rPr>
              <w:tab/>
            </w:r>
            <w:r>
              <w:rPr>
                <w:noProof/>
                <w:webHidden/>
              </w:rPr>
              <w:fldChar w:fldCharType="begin"/>
            </w:r>
            <w:r>
              <w:rPr>
                <w:noProof/>
                <w:webHidden/>
              </w:rPr>
              <w:instrText xml:space="preserve"> PAGEREF _Toc193901799 \h </w:instrText>
            </w:r>
            <w:r>
              <w:rPr>
                <w:noProof/>
                <w:webHidden/>
              </w:rPr>
            </w:r>
            <w:r>
              <w:rPr>
                <w:noProof/>
                <w:webHidden/>
              </w:rPr>
              <w:fldChar w:fldCharType="separate"/>
            </w:r>
            <w:r w:rsidR="00883114">
              <w:rPr>
                <w:noProof/>
                <w:webHidden/>
              </w:rPr>
              <w:t>64</w:t>
            </w:r>
            <w:r>
              <w:rPr>
                <w:noProof/>
                <w:webHidden/>
              </w:rPr>
              <w:fldChar w:fldCharType="end"/>
            </w:r>
          </w:hyperlink>
        </w:p>
        <w:p w14:paraId="1F2522F6" w14:textId="25C87B0A"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800" w:history="1">
            <w:r w:rsidRPr="00741FA8">
              <w:rPr>
                <w:rStyle w:val="Hyperlink"/>
                <w:noProof/>
              </w:rPr>
              <w:t>Priority Action 12: Enhance partnership planning and implementation by ensuring the voices of victims of crime, survivors, those with lived experience and their families are effectively incorporated and embedded</w:t>
            </w:r>
            <w:r>
              <w:rPr>
                <w:noProof/>
                <w:webHidden/>
              </w:rPr>
              <w:tab/>
            </w:r>
            <w:r>
              <w:rPr>
                <w:noProof/>
                <w:webHidden/>
              </w:rPr>
              <w:fldChar w:fldCharType="begin"/>
            </w:r>
            <w:r>
              <w:rPr>
                <w:noProof/>
                <w:webHidden/>
              </w:rPr>
              <w:instrText xml:space="preserve"> PAGEREF _Toc193901800 \h </w:instrText>
            </w:r>
            <w:r>
              <w:rPr>
                <w:noProof/>
                <w:webHidden/>
              </w:rPr>
            </w:r>
            <w:r>
              <w:rPr>
                <w:noProof/>
                <w:webHidden/>
              </w:rPr>
              <w:fldChar w:fldCharType="separate"/>
            </w:r>
            <w:r w:rsidR="00883114">
              <w:rPr>
                <w:noProof/>
                <w:webHidden/>
              </w:rPr>
              <w:t>68</w:t>
            </w:r>
            <w:r>
              <w:rPr>
                <w:noProof/>
                <w:webHidden/>
              </w:rPr>
              <w:fldChar w:fldCharType="end"/>
            </w:r>
          </w:hyperlink>
        </w:p>
        <w:p w14:paraId="6EBAF255" w14:textId="1947EAB9" w:rsidR="009D0A7E" w:rsidRDefault="009D0A7E">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3901801" w:history="1">
            <w:r w:rsidRPr="00741FA8">
              <w:rPr>
                <w:rStyle w:val="Hyperlink"/>
                <w:noProof/>
              </w:rPr>
              <w:t>Priority Action 13: Support integration and reduce stigma by ensuring the community and workforce have an improved understanding of and confidence in community justice</w:t>
            </w:r>
            <w:r>
              <w:rPr>
                <w:noProof/>
                <w:webHidden/>
              </w:rPr>
              <w:tab/>
            </w:r>
            <w:r>
              <w:rPr>
                <w:noProof/>
                <w:webHidden/>
              </w:rPr>
              <w:fldChar w:fldCharType="begin"/>
            </w:r>
            <w:r>
              <w:rPr>
                <w:noProof/>
                <w:webHidden/>
              </w:rPr>
              <w:instrText xml:space="preserve"> PAGEREF _Toc193901801 \h </w:instrText>
            </w:r>
            <w:r>
              <w:rPr>
                <w:noProof/>
                <w:webHidden/>
              </w:rPr>
            </w:r>
            <w:r>
              <w:rPr>
                <w:noProof/>
                <w:webHidden/>
              </w:rPr>
              <w:fldChar w:fldCharType="separate"/>
            </w:r>
            <w:r w:rsidR="00883114">
              <w:rPr>
                <w:noProof/>
                <w:webHidden/>
              </w:rPr>
              <w:t>70</w:t>
            </w:r>
            <w:r>
              <w:rPr>
                <w:noProof/>
                <w:webHidden/>
              </w:rPr>
              <w:fldChar w:fldCharType="end"/>
            </w:r>
          </w:hyperlink>
        </w:p>
        <w:p w14:paraId="11BB6670" w14:textId="14EFA536" w:rsidR="003F19B9" w:rsidRPr="00623EE6" w:rsidRDefault="00D74D8F" w:rsidP="009425BB">
          <w:pPr>
            <w:rPr>
              <w:color w:val="auto"/>
            </w:rPr>
          </w:pPr>
          <w:r w:rsidRPr="00623EE6">
            <w:rPr>
              <w:rFonts w:ascii="Open Sans SemiBold" w:hAnsi="Open Sans SemiBold"/>
              <w:color w:val="auto"/>
              <w:sz w:val="28"/>
            </w:rPr>
            <w:fldChar w:fldCharType="end"/>
          </w:r>
        </w:p>
      </w:sdtContent>
    </w:sdt>
    <w:p w14:paraId="63ED06E4" w14:textId="77777777" w:rsidR="00051DD1" w:rsidRPr="00623EE6" w:rsidRDefault="00051DD1" w:rsidP="00B456C1">
      <w:pPr>
        <w:pStyle w:val="Heading1"/>
        <w:sectPr w:rsidR="00051DD1" w:rsidRPr="00623EE6" w:rsidSect="009D0A7E">
          <w:footerReference w:type="default" r:id="rId14"/>
          <w:footerReference w:type="first" r:id="rId15"/>
          <w:pgSz w:w="11906" w:h="16838" w:code="9"/>
          <w:pgMar w:top="1440" w:right="1440" w:bottom="1440" w:left="1440" w:header="720" w:footer="720" w:gutter="0"/>
          <w:pgNumType w:start="0"/>
          <w:cols w:space="708"/>
          <w:titlePg/>
          <w:docGrid w:linePitch="360"/>
        </w:sectPr>
      </w:pPr>
    </w:p>
    <w:p w14:paraId="4E0EEFE2" w14:textId="77777777" w:rsidR="00936A63" w:rsidRPr="00623EE6" w:rsidRDefault="00936A63" w:rsidP="003F3086">
      <w:pPr>
        <w:pStyle w:val="Heading2"/>
        <w:rPr>
          <w:lang w:val="en-GB"/>
        </w:rPr>
        <w:sectPr w:rsidR="00936A63" w:rsidRPr="00623EE6" w:rsidSect="00051DD1">
          <w:type w:val="continuous"/>
          <w:pgSz w:w="11906" w:h="16838" w:code="9"/>
          <w:pgMar w:top="1440" w:right="1440" w:bottom="1440" w:left="1440" w:header="720" w:footer="720" w:gutter="0"/>
          <w:cols w:space="708"/>
          <w:docGrid w:linePitch="360"/>
        </w:sectPr>
      </w:pPr>
    </w:p>
    <w:p w14:paraId="21D2A76A" w14:textId="7E06BE65" w:rsidR="00936A63" w:rsidRPr="00623EE6" w:rsidRDefault="009B4D5A" w:rsidP="00336EE0">
      <w:pPr>
        <w:pStyle w:val="Heading1"/>
      </w:pPr>
      <w:bookmarkStart w:id="1" w:name="_Toc193901780"/>
      <w:r w:rsidRPr="00623EE6">
        <w:lastRenderedPageBreak/>
        <w:t xml:space="preserve">The </w:t>
      </w:r>
      <w:r w:rsidR="007A2E50" w:rsidRPr="00623EE6">
        <w:t>c</w:t>
      </w:r>
      <w:r w:rsidRPr="00623EE6">
        <w:t xml:space="preserve">ommunity </w:t>
      </w:r>
      <w:r w:rsidR="007A2E50" w:rsidRPr="00623EE6">
        <w:t>j</w:t>
      </w:r>
      <w:r w:rsidRPr="00623EE6">
        <w:t xml:space="preserve">ustice </w:t>
      </w:r>
      <w:r w:rsidR="007A2E50" w:rsidRPr="00623EE6">
        <w:t>l</w:t>
      </w:r>
      <w:r w:rsidRPr="00623EE6">
        <w:t>andscape</w:t>
      </w:r>
      <w:bookmarkEnd w:id="1"/>
    </w:p>
    <w:p w14:paraId="2A353ED0" w14:textId="14F48CEC" w:rsidR="0037366A" w:rsidRPr="00623EE6" w:rsidRDefault="00936A63" w:rsidP="0037366A">
      <w:pPr>
        <w:rPr>
          <w:color w:val="FF0000"/>
        </w:rPr>
      </w:pPr>
      <w:r w:rsidRPr="00623EE6">
        <w:rPr>
          <w:color w:val="auto"/>
        </w:rPr>
        <w:t xml:space="preserve">The present model of community justice </w:t>
      </w:r>
      <w:r w:rsidR="005468F8" w:rsidRPr="00623EE6">
        <w:rPr>
          <w:color w:val="auto"/>
        </w:rPr>
        <w:t xml:space="preserve">in Scotland </w:t>
      </w:r>
      <w:r w:rsidRPr="00623EE6">
        <w:rPr>
          <w:color w:val="auto"/>
        </w:rPr>
        <w:t xml:space="preserve">was </w:t>
      </w:r>
      <w:r w:rsidR="00B92F35" w:rsidRPr="00623EE6">
        <w:rPr>
          <w:color w:val="auto"/>
        </w:rPr>
        <w:t>put in place</w:t>
      </w:r>
      <w:r w:rsidR="00773D15" w:rsidRPr="00623EE6">
        <w:rPr>
          <w:color w:val="auto"/>
        </w:rPr>
        <w:t xml:space="preserve"> by</w:t>
      </w:r>
      <w:r w:rsidR="005D37E5" w:rsidRPr="00623EE6">
        <w:rPr>
          <w:color w:val="auto"/>
        </w:rPr>
        <w:t xml:space="preserve"> the Community Justice (Scotland) Act </w:t>
      </w:r>
      <w:r w:rsidR="00C248E7" w:rsidRPr="00623EE6">
        <w:rPr>
          <w:color w:val="auto"/>
        </w:rPr>
        <w:t>2016</w:t>
      </w:r>
      <w:r w:rsidR="00826615" w:rsidRPr="00623EE6">
        <w:rPr>
          <w:color w:val="auto"/>
        </w:rPr>
        <w:t xml:space="preserve"> (‘the Act’)</w:t>
      </w:r>
      <w:r w:rsidRPr="00623EE6">
        <w:rPr>
          <w:color w:val="auto"/>
        </w:rPr>
        <w:t>.</w:t>
      </w:r>
      <w:r w:rsidR="0079518D" w:rsidRPr="00623EE6">
        <w:rPr>
          <w:color w:val="auto"/>
        </w:rPr>
        <w:t xml:space="preserve"> </w:t>
      </w:r>
      <w:r w:rsidR="0037366A" w:rsidRPr="00623EE6">
        <w:rPr>
          <w:color w:val="auto"/>
          <w:lang w:eastAsia="en-GB"/>
        </w:rPr>
        <w:t>The legislation creates shared statutory duties in community justice, requiring statutory partners to collaborate and work collectively in planning and delivering the outcomes of the national strategy for community justice together with third sector partners.</w:t>
      </w:r>
      <w:r w:rsidR="0037366A" w:rsidRPr="00623EE6">
        <w:rPr>
          <w:color w:val="FF0000"/>
        </w:rPr>
        <w:t xml:space="preserve"> </w:t>
      </w:r>
    </w:p>
    <w:p w14:paraId="2A2EAB24" w14:textId="4D235091" w:rsidR="003D5B96" w:rsidRPr="00623EE6" w:rsidRDefault="003D5B96" w:rsidP="003D5B96">
      <w:pPr>
        <w:rPr>
          <w:color w:val="auto"/>
          <w:lang w:eastAsia="en-GB"/>
        </w:rPr>
      </w:pPr>
      <w:r w:rsidRPr="00623EE6">
        <w:rPr>
          <w:color w:val="auto"/>
          <w:lang w:eastAsia="en-GB"/>
        </w:rPr>
        <w:t>The statutory community justice partners are</w:t>
      </w:r>
      <w:r w:rsidR="00C91D75" w:rsidRPr="00623EE6">
        <w:rPr>
          <w:color w:val="auto"/>
          <w:lang w:eastAsia="en-GB"/>
        </w:rPr>
        <w:t>:</w:t>
      </w:r>
      <w:r w:rsidRPr="00623EE6">
        <w:rPr>
          <w:rStyle w:val="FootnoteReference"/>
          <w:color w:val="auto"/>
          <w:lang w:eastAsia="en-GB"/>
        </w:rPr>
        <w:footnoteReference w:id="2"/>
      </w:r>
    </w:p>
    <w:p w14:paraId="5B6853A7" w14:textId="3F885EDE" w:rsidR="003D5B96" w:rsidRPr="00623EE6" w:rsidRDefault="000F4BDA">
      <w:pPr>
        <w:numPr>
          <w:ilvl w:val="0"/>
          <w:numId w:val="5"/>
        </w:numPr>
        <w:rPr>
          <w:color w:val="auto"/>
          <w:lang w:eastAsia="en-GB"/>
        </w:rPr>
      </w:pPr>
      <w:r w:rsidRPr="00623EE6">
        <w:rPr>
          <w:color w:val="auto"/>
          <w:lang w:eastAsia="en-GB"/>
        </w:rPr>
        <w:t>l</w:t>
      </w:r>
      <w:r w:rsidR="003D5B96" w:rsidRPr="00623EE6">
        <w:rPr>
          <w:color w:val="auto"/>
          <w:lang w:eastAsia="en-GB"/>
        </w:rPr>
        <w:t>ocal authorities</w:t>
      </w:r>
    </w:p>
    <w:p w14:paraId="4C5E03C3" w14:textId="56184900" w:rsidR="003D5B96" w:rsidRPr="00623EE6" w:rsidRDefault="000F4BDA">
      <w:pPr>
        <w:numPr>
          <w:ilvl w:val="0"/>
          <w:numId w:val="5"/>
        </w:numPr>
        <w:rPr>
          <w:color w:val="auto"/>
          <w:lang w:eastAsia="en-GB"/>
        </w:rPr>
      </w:pPr>
      <w:r w:rsidRPr="00623EE6">
        <w:rPr>
          <w:color w:val="auto"/>
          <w:lang w:eastAsia="en-GB"/>
        </w:rPr>
        <w:t>h</w:t>
      </w:r>
      <w:r w:rsidR="003D5B96" w:rsidRPr="00623EE6">
        <w:rPr>
          <w:color w:val="auto"/>
          <w:lang w:eastAsia="en-GB"/>
        </w:rPr>
        <w:t>ealth boards</w:t>
      </w:r>
    </w:p>
    <w:p w14:paraId="4DC31E5D" w14:textId="3C47D554" w:rsidR="003D5B96" w:rsidRPr="00623EE6" w:rsidRDefault="000F4BDA">
      <w:pPr>
        <w:numPr>
          <w:ilvl w:val="0"/>
          <w:numId w:val="5"/>
        </w:numPr>
        <w:rPr>
          <w:color w:val="auto"/>
          <w:lang w:eastAsia="en-GB"/>
        </w:rPr>
      </w:pPr>
      <w:r w:rsidRPr="00623EE6">
        <w:rPr>
          <w:color w:val="auto"/>
          <w:lang w:eastAsia="en-GB"/>
        </w:rPr>
        <w:t>t</w:t>
      </w:r>
      <w:r w:rsidR="003D5B96" w:rsidRPr="00623EE6">
        <w:rPr>
          <w:color w:val="auto"/>
          <w:lang w:eastAsia="en-GB"/>
        </w:rPr>
        <w:t>he chief constable of the Police Service of Scotland</w:t>
      </w:r>
    </w:p>
    <w:p w14:paraId="5170BD69" w14:textId="03A5395A" w:rsidR="003D5B96" w:rsidRPr="00623EE6" w:rsidRDefault="003D5B96">
      <w:pPr>
        <w:numPr>
          <w:ilvl w:val="0"/>
          <w:numId w:val="5"/>
        </w:numPr>
        <w:rPr>
          <w:color w:val="auto"/>
          <w:lang w:eastAsia="en-GB"/>
        </w:rPr>
      </w:pPr>
      <w:r w:rsidRPr="00623EE6">
        <w:rPr>
          <w:color w:val="auto"/>
          <w:lang w:eastAsia="en-GB"/>
        </w:rPr>
        <w:t>Scottish Fire and Rescue Service</w:t>
      </w:r>
    </w:p>
    <w:p w14:paraId="6D1F4700" w14:textId="0976C8E9" w:rsidR="003D5B96" w:rsidRPr="00623EE6" w:rsidRDefault="003D5B96">
      <w:pPr>
        <w:numPr>
          <w:ilvl w:val="0"/>
          <w:numId w:val="5"/>
        </w:numPr>
        <w:rPr>
          <w:color w:val="auto"/>
          <w:lang w:eastAsia="en-GB"/>
        </w:rPr>
      </w:pPr>
      <w:r w:rsidRPr="00623EE6">
        <w:rPr>
          <w:color w:val="auto"/>
          <w:lang w:eastAsia="en-GB"/>
        </w:rPr>
        <w:t>Skills Development Scotland</w:t>
      </w:r>
    </w:p>
    <w:p w14:paraId="63F3AD61" w14:textId="1B5CCBE1" w:rsidR="003D5B96" w:rsidRPr="00623EE6" w:rsidRDefault="000F4BDA">
      <w:pPr>
        <w:numPr>
          <w:ilvl w:val="0"/>
          <w:numId w:val="5"/>
        </w:numPr>
        <w:rPr>
          <w:color w:val="auto"/>
          <w:lang w:eastAsia="en-GB"/>
        </w:rPr>
      </w:pPr>
      <w:r w:rsidRPr="00623EE6">
        <w:rPr>
          <w:color w:val="auto"/>
          <w:lang w:eastAsia="en-GB"/>
        </w:rPr>
        <w:t>i</w:t>
      </w:r>
      <w:r w:rsidR="003D5B96" w:rsidRPr="00623EE6">
        <w:rPr>
          <w:color w:val="auto"/>
          <w:lang w:eastAsia="en-GB"/>
        </w:rPr>
        <w:t>ntegration joint board</w:t>
      </w:r>
      <w:r w:rsidR="009523DA" w:rsidRPr="00623EE6">
        <w:rPr>
          <w:color w:val="auto"/>
          <w:lang w:eastAsia="en-GB"/>
        </w:rPr>
        <w:t>s</w:t>
      </w:r>
      <w:r w:rsidR="003D5B96" w:rsidRPr="00623EE6">
        <w:rPr>
          <w:color w:val="auto"/>
          <w:lang w:eastAsia="en-GB"/>
        </w:rPr>
        <w:t xml:space="preserve"> established by virtue of section 9 of the Public Bodies (Joint Working) (Scotland) Act 2014</w:t>
      </w:r>
    </w:p>
    <w:p w14:paraId="164F4F1D" w14:textId="13190F58" w:rsidR="003D5B96" w:rsidRPr="00623EE6" w:rsidRDefault="003D5B96">
      <w:pPr>
        <w:numPr>
          <w:ilvl w:val="0"/>
          <w:numId w:val="5"/>
        </w:numPr>
        <w:rPr>
          <w:color w:val="auto"/>
          <w:lang w:eastAsia="en-GB"/>
        </w:rPr>
      </w:pPr>
      <w:r w:rsidRPr="00623EE6">
        <w:rPr>
          <w:color w:val="auto"/>
          <w:lang w:eastAsia="en-GB"/>
        </w:rPr>
        <w:t>Scottish Courts and Tribunals Service</w:t>
      </w:r>
    </w:p>
    <w:p w14:paraId="7B9ABC16" w14:textId="3E6BB5FE" w:rsidR="003D5B96" w:rsidRPr="00623EE6" w:rsidRDefault="003D5B96">
      <w:pPr>
        <w:numPr>
          <w:ilvl w:val="0"/>
          <w:numId w:val="5"/>
        </w:numPr>
        <w:rPr>
          <w:color w:val="auto"/>
          <w:lang w:eastAsia="en-GB"/>
        </w:rPr>
      </w:pPr>
      <w:r w:rsidRPr="00623EE6">
        <w:rPr>
          <w:color w:val="auto"/>
          <w:lang w:eastAsia="en-GB"/>
        </w:rPr>
        <w:t xml:space="preserve">Scottish Ministers (by virtue of the structures of </w:t>
      </w:r>
      <w:r w:rsidR="00C91D75" w:rsidRPr="00623EE6">
        <w:rPr>
          <w:color w:val="auto"/>
          <w:lang w:eastAsia="en-GB"/>
        </w:rPr>
        <w:t xml:space="preserve">the </w:t>
      </w:r>
      <w:r w:rsidRPr="00623EE6">
        <w:rPr>
          <w:color w:val="auto"/>
          <w:lang w:eastAsia="en-GB"/>
        </w:rPr>
        <w:t xml:space="preserve">Crown Office and Procurator Fiscal Service and </w:t>
      </w:r>
      <w:r w:rsidR="00C91D75" w:rsidRPr="00623EE6">
        <w:rPr>
          <w:color w:val="auto"/>
          <w:lang w:eastAsia="en-GB"/>
        </w:rPr>
        <w:t xml:space="preserve">the </w:t>
      </w:r>
      <w:r w:rsidRPr="00623EE6">
        <w:rPr>
          <w:color w:val="auto"/>
          <w:lang w:eastAsia="en-GB"/>
        </w:rPr>
        <w:t>Scottish Prison Service)</w:t>
      </w:r>
    </w:p>
    <w:p w14:paraId="4428DFAC" w14:textId="04B8123C" w:rsidR="00CB1182" w:rsidRPr="00623EE6" w:rsidRDefault="00CB490C" w:rsidP="00936A63">
      <w:pPr>
        <w:rPr>
          <w:color w:val="auto"/>
        </w:rPr>
      </w:pPr>
      <w:r w:rsidRPr="00623EE6">
        <w:rPr>
          <w:color w:val="auto"/>
        </w:rPr>
        <w:t>The Act</w:t>
      </w:r>
      <w:r w:rsidR="00DA5F27" w:rsidRPr="00623EE6">
        <w:rPr>
          <w:color w:val="auto"/>
        </w:rPr>
        <w:t xml:space="preserve"> specifies that the services </w:t>
      </w:r>
      <w:r w:rsidR="009B4D5A" w:rsidRPr="00623EE6">
        <w:rPr>
          <w:color w:val="auto"/>
        </w:rPr>
        <w:t>m</w:t>
      </w:r>
      <w:r w:rsidR="00DA5F27" w:rsidRPr="00623EE6">
        <w:rPr>
          <w:color w:val="auto"/>
        </w:rPr>
        <w:t xml:space="preserve">ust be </w:t>
      </w:r>
      <w:r w:rsidR="005468F8" w:rsidRPr="00623EE6">
        <w:rPr>
          <w:color w:val="auto"/>
        </w:rPr>
        <w:t xml:space="preserve">designed </w:t>
      </w:r>
      <w:r w:rsidR="00936A63" w:rsidRPr="00623EE6">
        <w:rPr>
          <w:color w:val="auto"/>
        </w:rPr>
        <w:t xml:space="preserve">to promote rehabilitation and reintegration, from the point </w:t>
      </w:r>
      <w:r w:rsidR="007074F8" w:rsidRPr="00623EE6">
        <w:rPr>
          <w:color w:val="auto"/>
        </w:rPr>
        <w:t>when a person</w:t>
      </w:r>
      <w:r w:rsidR="004250F3" w:rsidRPr="00623EE6">
        <w:rPr>
          <w:color w:val="auto"/>
        </w:rPr>
        <w:t xml:space="preserve"> </w:t>
      </w:r>
      <w:r w:rsidR="006A0728" w:rsidRPr="00623EE6">
        <w:rPr>
          <w:color w:val="auto"/>
        </w:rPr>
        <w:t>ent</w:t>
      </w:r>
      <w:r w:rsidR="007074F8" w:rsidRPr="00623EE6">
        <w:rPr>
          <w:color w:val="auto"/>
        </w:rPr>
        <w:t>ers</w:t>
      </w:r>
      <w:r w:rsidR="0079518D" w:rsidRPr="00623EE6">
        <w:rPr>
          <w:color w:val="auto"/>
        </w:rPr>
        <w:t xml:space="preserve"> </w:t>
      </w:r>
      <w:r w:rsidR="00936A63" w:rsidRPr="00623EE6">
        <w:rPr>
          <w:color w:val="auto"/>
        </w:rPr>
        <w:t xml:space="preserve">the </w:t>
      </w:r>
      <w:r w:rsidR="005468F8" w:rsidRPr="00623EE6">
        <w:rPr>
          <w:color w:val="auto"/>
        </w:rPr>
        <w:t xml:space="preserve">criminal </w:t>
      </w:r>
      <w:r w:rsidR="00936A63" w:rsidRPr="00623EE6">
        <w:rPr>
          <w:color w:val="auto"/>
        </w:rPr>
        <w:t>justice system</w:t>
      </w:r>
      <w:r w:rsidR="007074F8" w:rsidRPr="00623EE6">
        <w:rPr>
          <w:color w:val="auto"/>
        </w:rPr>
        <w:t xml:space="preserve"> by coming into contact with the police</w:t>
      </w:r>
      <w:r w:rsidR="007F5C28" w:rsidRPr="00623EE6">
        <w:rPr>
          <w:color w:val="auto"/>
        </w:rPr>
        <w:t xml:space="preserve"> through to their exit from it</w:t>
      </w:r>
      <w:r w:rsidR="00D20719" w:rsidRPr="00623EE6">
        <w:rPr>
          <w:color w:val="auto"/>
        </w:rPr>
        <w:t>,</w:t>
      </w:r>
      <w:r w:rsidR="000A6EA7" w:rsidRPr="00623EE6">
        <w:rPr>
          <w:color w:val="auto"/>
        </w:rPr>
        <w:t xml:space="preserve"> with the aim of </w:t>
      </w:r>
      <w:r w:rsidR="007F5C28" w:rsidRPr="00623EE6">
        <w:rPr>
          <w:color w:val="auto"/>
        </w:rPr>
        <w:t>reducing</w:t>
      </w:r>
      <w:r w:rsidR="000A6EA7" w:rsidRPr="00623EE6">
        <w:rPr>
          <w:color w:val="auto"/>
        </w:rPr>
        <w:t xml:space="preserve"> </w:t>
      </w:r>
      <w:r w:rsidR="007074F8" w:rsidRPr="00623EE6">
        <w:rPr>
          <w:color w:val="auto"/>
        </w:rPr>
        <w:t xml:space="preserve">the </w:t>
      </w:r>
      <w:r w:rsidR="00C621D8" w:rsidRPr="00623EE6">
        <w:rPr>
          <w:color w:val="auto"/>
        </w:rPr>
        <w:t xml:space="preserve">risk of their </w:t>
      </w:r>
      <w:r w:rsidR="000A6EA7" w:rsidRPr="00623EE6">
        <w:rPr>
          <w:color w:val="auto"/>
        </w:rPr>
        <w:t>re</w:t>
      </w:r>
      <w:r w:rsidR="00D20719" w:rsidRPr="00623EE6">
        <w:rPr>
          <w:color w:val="auto"/>
        </w:rPr>
        <w:t>-</w:t>
      </w:r>
      <w:r w:rsidR="000A6EA7" w:rsidRPr="00623EE6">
        <w:rPr>
          <w:color w:val="auto"/>
        </w:rPr>
        <w:t>offending</w:t>
      </w:r>
      <w:r w:rsidR="00936A63" w:rsidRPr="00623EE6">
        <w:rPr>
          <w:color w:val="auto"/>
        </w:rPr>
        <w:t xml:space="preserve">. </w:t>
      </w:r>
    </w:p>
    <w:p w14:paraId="77182F82" w14:textId="7717B8A1" w:rsidR="00BF29AD" w:rsidRPr="00623EE6" w:rsidRDefault="00AA3D8D" w:rsidP="00936A63">
      <w:pPr>
        <w:rPr>
          <w:color w:val="auto"/>
        </w:rPr>
      </w:pPr>
      <w:r w:rsidRPr="00623EE6">
        <w:rPr>
          <w:color w:val="auto"/>
        </w:rPr>
        <w:t xml:space="preserve">The Act </w:t>
      </w:r>
      <w:r w:rsidR="0037366A" w:rsidRPr="00623EE6">
        <w:rPr>
          <w:color w:val="auto"/>
        </w:rPr>
        <w:t xml:space="preserve">provides the legislative basis for </w:t>
      </w:r>
      <w:r w:rsidR="00FB2F3E" w:rsidRPr="00623EE6">
        <w:rPr>
          <w:b/>
          <w:bCs/>
          <w:color w:val="auto"/>
        </w:rPr>
        <w:t>Community Justice Scotland</w:t>
      </w:r>
      <w:r w:rsidR="003D07C7" w:rsidRPr="00623EE6">
        <w:rPr>
          <w:color w:val="auto"/>
        </w:rPr>
        <w:t xml:space="preserve"> </w:t>
      </w:r>
      <w:r w:rsidR="002010FC" w:rsidRPr="00623EE6">
        <w:rPr>
          <w:color w:val="auto"/>
        </w:rPr>
        <w:t>(CJS)</w:t>
      </w:r>
      <w:r w:rsidR="00E734E9" w:rsidRPr="00623EE6">
        <w:rPr>
          <w:color w:val="auto"/>
        </w:rPr>
        <w:t xml:space="preserve"> </w:t>
      </w:r>
      <w:r w:rsidR="0037366A" w:rsidRPr="00623EE6">
        <w:rPr>
          <w:color w:val="auto"/>
        </w:rPr>
        <w:t>as</w:t>
      </w:r>
      <w:r w:rsidR="003D07C7" w:rsidRPr="00623EE6">
        <w:rPr>
          <w:color w:val="auto"/>
        </w:rPr>
        <w:t xml:space="preserve"> </w:t>
      </w:r>
      <w:r w:rsidR="00BC5CDD" w:rsidRPr="00623EE6">
        <w:rPr>
          <w:color w:val="auto"/>
        </w:rPr>
        <w:t>the</w:t>
      </w:r>
      <w:r w:rsidR="003D07C7" w:rsidRPr="00623EE6">
        <w:rPr>
          <w:color w:val="auto"/>
        </w:rPr>
        <w:t xml:space="preserve"> national </w:t>
      </w:r>
      <w:r w:rsidR="00D20719" w:rsidRPr="00623EE6">
        <w:rPr>
          <w:color w:val="auto"/>
        </w:rPr>
        <w:t xml:space="preserve">leadership </w:t>
      </w:r>
      <w:r w:rsidR="002010FC" w:rsidRPr="00623EE6">
        <w:rPr>
          <w:color w:val="auto"/>
        </w:rPr>
        <w:t xml:space="preserve">and </w:t>
      </w:r>
      <w:r w:rsidR="00BC5CDD" w:rsidRPr="00623EE6">
        <w:rPr>
          <w:color w:val="auto"/>
        </w:rPr>
        <w:t xml:space="preserve">oversight </w:t>
      </w:r>
      <w:r w:rsidR="00D20719" w:rsidRPr="00623EE6">
        <w:rPr>
          <w:color w:val="auto"/>
        </w:rPr>
        <w:t>body</w:t>
      </w:r>
      <w:r w:rsidR="00BC5CDD" w:rsidRPr="00623EE6">
        <w:rPr>
          <w:color w:val="auto"/>
        </w:rPr>
        <w:t xml:space="preserve"> for the sector</w:t>
      </w:r>
      <w:r w:rsidR="00BD5BF8" w:rsidRPr="00623EE6">
        <w:rPr>
          <w:color w:val="auto"/>
        </w:rPr>
        <w:t xml:space="preserve">. </w:t>
      </w:r>
    </w:p>
    <w:p w14:paraId="0090A81D" w14:textId="01746E27" w:rsidR="00CB1182" w:rsidRPr="00623EE6" w:rsidRDefault="00BD5BF8" w:rsidP="00936A63">
      <w:pPr>
        <w:rPr>
          <w:color w:val="auto"/>
        </w:rPr>
      </w:pPr>
      <w:r w:rsidRPr="00623EE6">
        <w:rPr>
          <w:color w:val="auto"/>
        </w:rPr>
        <w:t>We are</w:t>
      </w:r>
      <w:r w:rsidR="00BC5CDD" w:rsidRPr="00623EE6">
        <w:rPr>
          <w:color w:val="auto"/>
        </w:rPr>
        <w:t xml:space="preserve"> tasked with </w:t>
      </w:r>
      <w:r w:rsidR="00E255C6" w:rsidRPr="00623EE6">
        <w:rPr>
          <w:color w:val="auto"/>
        </w:rPr>
        <w:t xml:space="preserve">leading the </w:t>
      </w:r>
      <w:r w:rsidR="009A35D3" w:rsidRPr="00623EE6">
        <w:rPr>
          <w:color w:val="auto"/>
        </w:rPr>
        <w:t xml:space="preserve">promotion of </w:t>
      </w:r>
      <w:r w:rsidRPr="00623EE6">
        <w:rPr>
          <w:color w:val="auto"/>
        </w:rPr>
        <w:t xml:space="preserve">the </w:t>
      </w:r>
      <w:r w:rsidR="004250F3" w:rsidRPr="00623EE6">
        <w:rPr>
          <w:color w:val="auto"/>
        </w:rPr>
        <w:t xml:space="preserve">Scottish Government’s </w:t>
      </w:r>
      <w:hyperlink r:id="rId16" w:history="1">
        <w:r w:rsidR="00073CF5" w:rsidRPr="00623EE6">
          <w:rPr>
            <w:rStyle w:val="Hyperlink"/>
            <w:b/>
            <w:bCs/>
            <w:color w:val="auto"/>
          </w:rPr>
          <w:t>National Strategy for Community Justice</w:t>
        </w:r>
      </w:hyperlink>
      <w:r w:rsidR="00073CF5" w:rsidRPr="00623EE6">
        <w:rPr>
          <w:color w:val="auto"/>
        </w:rPr>
        <w:t xml:space="preserve"> (‘the</w:t>
      </w:r>
      <w:r w:rsidR="00F22CCF" w:rsidRPr="00623EE6">
        <w:rPr>
          <w:color w:val="auto"/>
        </w:rPr>
        <w:t xml:space="preserve"> </w:t>
      </w:r>
      <w:r w:rsidR="0045087E" w:rsidRPr="00623EE6">
        <w:rPr>
          <w:color w:val="auto"/>
        </w:rPr>
        <w:t>n</w:t>
      </w:r>
      <w:r w:rsidR="00F22CCF" w:rsidRPr="00623EE6">
        <w:rPr>
          <w:color w:val="auto"/>
        </w:rPr>
        <w:t>ational</w:t>
      </w:r>
      <w:r w:rsidR="00073CF5" w:rsidRPr="00623EE6">
        <w:rPr>
          <w:color w:val="auto"/>
        </w:rPr>
        <w:t xml:space="preserve"> </w:t>
      </w:r>
      <w:r w:rsidR="0045087E" w:rsidRPr="00623EE6">
        <w:rPr>
          <w:color w:val="auto"/>
        </w:rPr>
        <w:t>s</w:t>
      </w:r>
      <w:r w:rsidR="00073CF5" w:rsidRPr="00623EE6">
        <w:rPr>
          <w:color w:val="auto"/>
        </w:rPr>
        <w:t>trategy’)</w:t>
      </w:r>
      <w:r w:rsidR="002010FC" w:rsidRPr="00623EE6">
        <w:rPr>
          <w:color w:val="auto"/>
        </w:rPr>
        <w:t>,</w:t>
      </w:r>
      <w:r w:rsidR="00FF3B71" w:rsidRPr="00623EE6">
        <w:rPr>
          <w:color w:val="auto"/>
        </w:rPr>
        <w:t xml:space="preserve"> supporting </w:t>
      </w:r>
      <w:r w:rsidR="0017119C" w:rsidRPr="00623EE6">
        <w:rPr>
          <w:color w:val="auto"/>
        </w:rPr>
        <w:t xml:space="preserve">all </w:t>
      </w:r>
      <w:r w:rsidR="00FF3B71" w:rsidRPr="00623EE6">
        <w:rPr>
          <w:color w:val="auto"/>
        </w:rPr>
        <w:t xml:space="preserve">the </w:t>
      </w:r>
      <w:r w:rsidR="004250F3" w:rsidRPr="00623EE6">
        <w:rPr>
          <w:color w:val="auto"/>
        </w:rPr>
        <w:t xml:space="preserve">national and local </w:t>
      </w:r>
      <w:r w:rsidR="00FF3B71" w:rsidRPr="00623EE6">
        <w:rPr>
          <w:color w:val="auto"/>
        </w:rPr>
        <w:t xml:space="preserve">partners to </w:t>
      </w:r>
      <w:r w:rsidR="0017119C" w:rsidRPr="00623EE6">
        <w:rPr>
          <w:color w:val="auto"/>
        </w:rPr>
        <w:t xml:space="preserve">work together </w:t>
      </w:r>
      <w:r w:rsidR="00C8051A" w:rsidRPr="00623EE6">
        <w:rPr>
          <w:color w:val="auto"/>
        </w:rPr>
        <w:t xml:space="preserve">in </w:t>
      </w:r>
      <w:r w:rsidR="00C8051A" w:rsidRPr="00623EE6">
        <w:rPr>
          <w:color w:val="auto"/>
          <w:lang w:eastAsia="en-GB"/>
        </w:rPr>
        <w:t>order</w:t>
      </w:r>
      <w:r w:rsidR="00C8051A" w:rsidRPr="00623EE6">
        <w:rPr>
          <w:color w:val="auto"/>
        </w:rPr>
        <w:t xml:space="preserve"> that they can </w:t>
      </w:r>
      <w:r w:rsidR="00FF3B71" w:rsidRPr="00623EE6">
        <w:rPr>
          <w:color w:val="auto"/>
        </w:rPr>
        <w:t>deliver improvement</w:t>
      </w:r>
      <w:r w:rsidRPr="00623EE6">
        <w:rPr>
          <w:color w:val="auto"/>
        </w:rPr>
        <w:t>s</w:t>
      </w:r>
      <w:r w:rsidR="00FF3B71" w:rsidRPr="00623EE6">
        <w:rPr>
          <w:color w:val="auto"/>
        </w:rPr>
        <w:t xml:space="preserve"> in </w:t>
      </w:r>
      <w:r w:rsidR="005D570E" w:rsidRPr="00623EE6">
        <w:rPr>
          <w:color w:val="auto"/>
        </w:rPr>
        <w:t>provision of</w:t>
      </w:r>
      <w:r w:rsidR="002010FC" w:rsidRPr="00623EE6">
        <w:rPr>
          <w:color w:val="auto"/>
        </w:rPr>
        <w:t xml:space="preserve"> community</w:t>
      </w:r>
      <w:r w:rsidR="00992C46" w:rsidRPr="00623EE6">
        <w:rPr>
          <w:color w:val="auto"/>
        </w:rPr>
        <w:t>-</w:t>
      </w:r>
      <w:r w:rsidR="002010FC" w:rsidRPr="00623EE6">
        <w:rPr>
          <w:color w:val="auto"/>
        </w:rPr>
        <w:t>based</w:t>
      </w:r>
      <w:r w:rsidR="000A6EA7" w:rsidRPr="00623EE6">
        <w:rPr>
          <w:color w:val="auto"/>
        </w:rPr>
        <w:t xml:space="preserve"> </w:t>
      </w:r>
      <w:r w:rsidR="005D570E" w:rsidRPr="00623EE6">
        <w:rPr>
          <w:color w:val="auto"/>
        </w:rPr>
        <w:t>services</w:t>
      </w:r>
      <w:r w:rsidR="00AF6944" w:rsidRPr="00623EE6">
        <w:rPr>
          <w:color w:val="auto"/>
        </w:rPr>
        <w:t>,</w:t>
      </w:r>
      <w:r w:rsidR="005D570E" w:rsidRPr="00623EE6">
        <w:rPr>
          <w:color w:val="auto"/>
        </w:rPr>
        <w:t xml:space="preserve"> and</w:t>
      </w:r>
      <w:r w:rsidR="000A6EA7" w:rsidRPr="00623EE6">
        <w:rPr>
          <w:color w:val="auto"/>
        </w:rPr>
        <w:t xml:space="preserve"> monitor</w:t>
      </w:r>
      <w:r w:rsidR="00AF6944" w:rsidRPr="00623EE6">
        <w:rPr>
          <w:color w:val="auto"/>
        </w:rPr>
        <w:t>ing</w:t>
      </w:r>
      <w:r w:rsidR="000A6EA7" w:rsidRPr="00623EE6">
        <w:rPr>
          <w:color w:val="auto"/>
        </w:rPr>
        <w:t xml:space="preserve"> their progress</w:t>
      </w:r>
      <w:r w:rsidR="00C8051A" w:rsidRPr="00623EE6">
        <w:rPr>
          <w:color w:val="auto"/>
        </w:rPr>
        <w:t xml:space="preserve"> in doing so</w:t>
      </w:r>
      <w:r w:rsidR="000A6EA7" w:rsidRPr="00623EE6">
        <w:rPr>
          <w:color w:val="auto"/>
        </w:rPr>
        <w:t>.</w:t>
      </w:r>
      <w:r w:rsidR="0079518D" w:rsidRPr="00623EE6">
        <w:rPr>
          <w:color w:val="auto"/>
        </w:rPr>
        <w:t xml:space="preserve"> </w:t>
      </w:r>
    </w:p>
    <w:p w14:paraId="296D4F99" w14:textId="1D93E87B" w:rsidR="00936A63" w:rsidRPr="00623EE6" w:rsidRDefault="00936A63" w:rsidP="00936A63">
      <w:pPr>
        <w:rPr>
          <w:color w:val="auto"/>
        </w:rPr>
      </w:pPr>
      <w:r w:rsidRPr="00623EE6">
        <w:rPr>
          <w:color w:val="auto"/>
        </w:rPr>
        <w:t xml:space="preserve">Section 27 of the Act </w:t>
      </w:r>
      <w:r w:rsidR="00C962DB" w:rsidRPr="00623EE6">
        <w:rPr>
          <w:color w:val="auto"/>
        </w:rPr>
        <w:t>specifies that CJS</w:t>
      </w:r>
      <w:r w:rsidR="00251982" w:rsidRPr="00623EE6">
        <w:rPr>
          <w:color w:val="auto"/>
        </w:rPr>
        <w:t xml:space="preserve"> </w:t>
      </w:r>
      <w:r w:rsidR="00C83B06" w:rsidRPr="00623EE6">
        <w:rPr>
          <w:color w:val="auto"/>
        </w:rPr>
        <w:t>mus</w:t>
      </w:r>
      <w:r w:rsidR="009B6492" w:rsidRPr="00623EE6">
        <w:rPr>
          <w:color w:val="auto"/>
        </w:rPr>
        <w:t>t</w:t>
      </w:r>
      <w:r w:rsidRPr="00623EE6">
        <w:rPr>
          <w:color w:val="auto"/>
        </w:rPr>
        <w:t xml:space="preserve"> report annually</w:t>
      </w:r>
      <w:r w:rsidR="009B6492" w:rsidRPr="00623EE6">
        <w:rPr>
          <w:color w:val="auto"/>
        </w:rPr>
        <w:t>,</w:t>
      </w:r>
      <w:r w:rsidRPr="00623EE6">
        <w:rPr>
          <w:color w:val="auto"/>
        </w:rPr>
        <w:t xml:space="preserve"> setting out </w:t>
      </w:r>
      <w:r w:rsidR="0037366A" w:rsidRPr="00623EE6">
        <w:rPr>
          <w:color w:val="auto"/>
        </w:rPr>
        <w:t>our</w:t>
      </w:r>
      <w:r w:rsidRPr="00623EE6">
        <w:rPr>
          <w:color w:val="auto"/>
        </w:rPr>
        <w:t xml:space="preserve"> assessment of performance in Scotland as a whole in </w:t>
      </w:r>
      <w:r w:rsidR="00AF6944" w:rsidRPr="00623EE6">
        <w:rPr>
          <w:color w:val="auto"/>
        </w:rPr>
        <w:t>achieving</w:t>
      </w:r>
      <w:r w:rsidRPr="00623EE6">
        <w:rPr>
          <w:color w:val="auto"/>
        </w:rPr>
        <w:t xml:space="preserve"> the nationally </w:t>
      </w:r>
      <w:r w:rsidRPr="00623EE6">
        <w:rPr>
          <w:color w:val="auto"/>
        </w:rPr>
        <w:lastRenderedPageBreak/>
        <w:t xml:space="preserve">determined outcomes </w:t>
      </w:r>
      <w:r w:rsidR="003C69F8" w:rsidRPr="00623EE6">
        <w:rPr>
          <w:color w:val="auto"/>
        </w:rPr>
        <w:t>specified</w:t>
      </w:r>
      <w:r w:rsidRPr="00623EE6">
        <w:rPr>
          <w:color w:val="auto"/>
        </w:rPr>
        <w:t xml:space="preserve"> </w:t>
      </w:r>
      <w:r w:rsidR="00A22EAD" w:rsidRPr="00623EE6">
        <w:rPr>
          <w:color w:val="auto"/>
        </w:rPr>
        <w:t xml:space="preserve">by </w:t>
      </w:r>
      <w:r w:rsidRPr="00623EE6">
        <w:rPr>
          <w:color w:val="auto"/>
        </w:rPr>
        <w:t>the</w:t>
      </w:r>
      <w:r w:rsidR="00DC19F7" w:rsidRPr="00623EE6">
        <w:rPr>
          <w:color w:val="auto"/>
        </w:rPr>
        <w:t xml:space="preserve"> </w:t>
      </w:r>
      <w:r w:rsidR="0045087E" w:rsidRPr="00623EE6">
        <w:rPr>
          <w:color w:val="auto"/>
        </w:rPr>
        <w:t>n</w:t>
      </w:r>
      <w:r w:rsidR="0017119C" w:rsidRPr="00623EE6">
        <w:rPr>
          <w:color w:val="auto"/>
        </w:rPr>
        <w:t xml:space="preserve">ational </w:t>
      </w:r>
      <w:r w:rsidR="0045087E" w:rsidRPr="00623EE6">
        <w:rPr>
          <w:color w:val="auto"/>
        </w:rPr>
        <w:t>s</w:t>
      </w:r>
      <w:r w:rsidRPr="00623EE6">
        <w:rPr>
          <w:color w:val="auto"/>
        </w:rPr>
        <w:t xml:space="preserve">trategy and </w:t>
      </w:r>
      <w:r w:rsidR="00DC19F7" w:rsidRPr="00623EE6">
        <w:rPr>
          <w:color w:val="auto"/>
        </w:rPr>
        <w:t xml:space="preserve">its </w:t>
      </w:r>
      <w:r w:rsidRPr="00623EE6">
        <w:rPr>
          <w:color w:val="auto"/>
        </w:rPr>
        <w:t>associated performance framework.</w:t>
      </w:r>
      <w:r w:rsidR="00E84262" w:rsidRPr="00623EE6">
        <w:rPr>
          <w:color w:val="auto"/>
        </w:rPr>
        <w:t xml:space="preserve"> Th</w:t>
      </w:r>
      <w:r w:rsidR="009C6563" w:rsidRPr="00623EE6">
        <w:rPr>
          <w:color w:val="auto"/>
        </w:rPr>
        <w:t>is</w:t>
      </w:r>
      <w:r w:rsidR="00E84262" w:rsidRPr="00623EE6">
        <w:rPr>
          <w:color w:val="auto"/>
        </w:rPr>
        <w:t xml:space="preserve"> report covers all national outcomes with reference to activity under each of the priority actions in the </w:t>
      </w:r>
      <w:r w:rsidR="008E15AD" w:rsidRPr="00623EE6">
        <w:rPr>
          <w:color w:val="auto"/>
        </w:rPr>
        <w:t>s</w:t>
      </w:r>
      <w:r w:rsidR="00E84262" w:rsidRPr="00623EE6">
        <w:rPr>
          <w:color w:val="auto"/>
        </w:rPr>
        <w:t>trategy.</w:t>
      </w:r>
    </w:p>
    <w:p w14:paraId="2AC78519" w14:textId="77777777" w:rsidR="009C6563" w:rsidRPr="00623EE6" w:rsidRDefault="009C6563" w:rsidP="009C6563">
      <w:pPr>
        <w:rPr>
          <w:color w:val="auto"/>
        </w:rPr>
      </w:pPr>
      <w:r w:rsidRPr="00623EE6">
        <w:rPr>
          <w:color w:val="auto"/>
        </w:rPr>
        <w:t>The Scottish Government’s refreshed</w:t>
      </w:r>
      <w:r w:rsidRPr="00623EE6">
        <w:rPr>
          <w:color w:val="auto"/>
          <w:lang w:eastAsia="en-GB"/>
        </w:rPr>
        <w:t xml:space="preserve"> </w:t>
      </w:r>
      <w:hyperlink r:id="rId17" w:history="1">
        <w:r w:rsidRPr="00623EE6">
          <w:rPr>
            <w:rStyle w:val="Hyperlink"/>
            <w:color w:val="auto"/>
            <w:lang w:eastAsia="en-GB"/>
          </w:rPr>
          <w:t>Vision for Justice in Scotland</w:t>
        </w:r>
      </w:hyperlink>
      <w:r w:rsidRPr="00623EE6">
        <w:rPr>
          <w:color w:val="auto"/>
          <w:lang w:eastAsia="en-GB"/>
        </w:rPr>
        <w:t xml:space="preserve"> was published in February 2022 and set the aspiration for Scotland ‘to shift the balance to ensure... custody will be reserved only when no alternative is appropriate’.</w:t>
      </w:r>
    </w:p>
    <w:p w14:paraId="0CF70E30" w14:textId="77777777" w:rsidR="009C6563" w:rsidRPr="00623EE6" w:rsidRDefault="009C6563" w:rsidP="009C6563">
      <w:r w:rsidRPr="00623EE6">
        <w:rPr>
          <w:color w:val="auto"/>
        </w:rPr>
        <w:t xml:space="preserve">The government’s revised national strategy for community justice was published in June 2022 and the linked </w:t>
      </w:r>
      <w:hyperlink r:id="rId18" w:history="1">
        <w:r w:rsidRPr="00623EE6">
          <w:rPr>
            <w:rStyle w:val="Hyperlink"/>
            <w:color w:val="auto"/>
          </w:rPr>
          <w:t>Community Justice Performance Framework</w:t>
        </w:r>
      </w:hyperlink>
      <w:r w:rsidRPr="00623EE6">
        <w:rPr>
          <w:color w:val="auto"/>
        </w:rPr>
        <w:t xml:space="preserve"> (CJPF) followed in March 2023.  Together, these documents set out the ambition for community justice in Scotland.</w:t>
      </w:r>
      <w:r w:rsidRPr="00623EE6">
        <w:t xml:space="preserve"> </w:t>
      </w:r>
    </w:p>
    <w:p w14:paraId="0E8FC60D" w14:textId="4A0DC2CD" w:rsidR="009B4D5A" w:rsidRPr="00623EE6" w:rsidRDefault="009C6563" w:rsidP="009C6563">
      <w:pPr>
        <w:rPr>
          <w:color w:val="auto"/>
        </w:rPr>
      </w:pPr>
      <w:r w:rsidRPr="00623EE6">
        <w:rPr>
          <w:noProof/>
        </w:rPr>
        <w:drawing>
          <wp:inline distT="0" distB="0" distL="0" distR="0" wp14:anchorId="66CCCFCF" wp14:editId="1886DB41">
            <wp:extent cx="5731510" cy="2854325"/>
            <wp:effectExtent l="0" t="0" r="2540" b="3175"/>
            <wp:docPr id="540780574" name="Picture 1" descr="Timeline of key community justice milestone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2942" name="Picture 1" descr="Timeline of key community justice milestones in Scot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54325"/>
                    </a:xfrm>
                    <a:prstGeom prst="rect">
                      <a:avLst/>
                    </a:prstGeom>
                    <a:noFill/>
                    <a:ln>
                      <a:noFill/>
                    </a:ln>
                  </pic:spPr>
                </pic:pic>
              </a:graphicData>
            </a:graphic>
          </wp:inline>
        </w:drawing>
      </w:r>
    </w:p>
    <w:p w14:paraId="0AD4CFD5" w14:textId="42C1F490" w:rsidR="009B4D5A" w:rsidRPr="00623EE6" w:rsidRDefault="009B4D5A" w:rsidP="00936A63">
      <w:pPr>
        <w:rPr>
          <w:b/>
          <w:bCs/>
          <w:color w:val="auto"/>
        </w:rPr>
      </w:pPr>
      <w:r w:rsidRPr="00623EE6">
        <w:rPr>
          <w:b/>
          <w:bCs/>
          <w:color w:val="auto"/>
        </w:rPr>
        <w:t xml:space="preserve">About </w:t>
      </w:r>
      <w:r w:rsidR="0045087E" w:rsidRPr="00623EE6">
        <w:rPr>
          <w:b/>
          <w:bCs/>
          <w:color w:val="auto"/>
        </w:rPr>
        <w:t>t</w:t>
      </w:r>
      <w:r w:rsidRPr="00623EE6">
        <w:rPr>
          <w:b/>
          <w:bCs/>
          <w:color w:val="auto"/>
        </w:rPr>
        <w:t xml:space="preserve">his </w:t>
      </w:r>
      <w:r w:rsidR="0045087E" w:rsidRPr="00623EE6">
        <w:rPr>
          <w:b/>
          <w:bCs/>
          <w:color w:val="auto"/>
        </w:rPr>
        <w:t>r</w:t>
      </w:r>
      <w:r w:rsidRPr="00623EE6">
        <w:rPr>
          <w:b/>
          <w:bCs/>
          <w:color w:val="auto"/>
        </w:rPr>
        <w:t>eport</w:t>
      </w:r>
    </w:p>
    <w:p w14:paraId="7C7B7024" w14:textId="0D3951AC" w:rsidR="0017119C" w:rsidRPr="00623EE6" w:rsidRDefault="00936A63" w:rsidP="00111C67">
      <w:pPr>
        <w:rPr>
          <w:color w:val="auto"/>
        </w:rPr>
      </w:pPr>
      <w:r w:rsidRPr="00623EE6">
        <w:rPr>
          <w:color w:val="auto"/>
        </w:rPr>
        <w:t>This report provides</w:t>
      </w:r>
      <w:r w:rsidR="00D36C67" w:rsidRPr="00623EE6">
        <w:rPr>
          <w:color w:val="auto"/>
        </w:rPr>
        <w:t xml:space="preserve"> an</w:t>
      </w:r>
      <w:r w:rsidRPr="00623EE6">
        <w:rPr>
          <w:color w:val="auto"/>
        </w:rPr>
        <w:t xml:space="preserve"> assessment of </w:t>
      </w:r>
      <w:r w:rsidR="001274AC" w:rsidRPr="00623EE6">
        <w:rPr>
          <w:color w:val="auto"/>
        </w:rPr>
        <w:t xml:space="preserve">overall </w:t>
      </w:r>
      <w:r w:rsidRPr="00623EE6">
        <w:rPr>
          <w:color w:val="auto"/>
        </w:rPr>
        <w:t>progress</w:t>
      </w:r>
      <w:r w:rsidR="009C6563" w:rsidRPr="00623EE6">
        <w:rPr>
          <w:color w:val="auto"/>
        </w:rPr>
        <w:t xml:space="preserve"> towards the national outcomes</w:t>
      </w:r>
      <w:r w:rsidRPr="00623EE6">
        <w:rPr>
          <w:color w:val="auto"/>
        </w:rPr>
        <w:t xml:space="preserve"> </w:t>
      </w:r>
      <w:r w:rsidR="003C69F8" w:rsidRPr="00623EE6">
        <w:rPr>
          <w:color w:val="auto"/>
        </w:rPr>
        <w:t>in Scotland</w:t>
      </w:r>
      <w:r w:rsidR="00E3773F" w:rsidRPr="00623EE6">
        <w:rPr>
          <w:color w:val="auto"/>
        </w:rPr>
        <w:t xml:space="preserve"> </w:t>
      </w:r>
      <w:r w:rsidR="009C6563" w:rsidRPr="00623EE6">
        <w:rPr>
          <w:color w:val="auto"/>
        </w:rPr>
        <w:t xml:space="preserve">over </w:t>
      </w:r>
      <w:r w:rsidRPr="00623EE6">
        <w:rPr>
          <w:color w:val="auto"/>
        </w:rPr>
        <w:t>the reporting year April 2023 to March 202</w:t>
      </w:r>
      <w:r w:rsidR="007E6C2B" w:rsidRPr="00623EE6">
        <w:rPr>
          <w:color w:val="auto"/>
        </w:rPr>
        <w:t>4</w:t>
      </w:r>
      <w:r w:rsidRPr="00623EE6">
        <w:rPr>
          <w:color w:val="auto"/>
        </w:rPr>
        <w:t xml:space="preserve">. </w:t>
      </w:r>
    </w:p>
    <w:p w14:paraId="0F6DAEC3" w14:textId="0C8B622D" w:rsidR="003C1F48" w:rsidRPr="00623EE6" w:rsidRDefault="009C6563" w:rsidP="00936A63">
      <w:pPr>
        <w:rPr>
          <w:color w:val="auto"/>
        </w:rPr>
      </w:pPr>
      <w:r w:rsidRPr="00623EE6">
        <w:rPr>
          <w:color w:val="auto"/>
        </w:rPr>
        <w:t>This is the first reporting period for activity set out by the revised national strategy and performance framework.</w:t>
      </w:r>
    </w:p>
    <w:p w14:paraId="215A747F" w14:textId="0DD46174" w:rsidR="00936A63" w:rsidRPr="00623EE6" w:rsidRDefault="00936A63" w:rsidP="00936A63">
      <w:pPr>
        <w:rPr>
          <w:color w:val="auto"/>
        </w:rPr>
      </w:pPr>
      <w:r w:rsidRPr="00623EE6">
        <w:rPr>
          <w:color w:val="auto"/>
        </w:rPr>
        <w:t>To develop th</w:t>
      </w:r>
      <w:r w:rsidR="00DA72AB" w:rsidRPr="00623EE6">
        <w:rPr>
          <w:color w:val="auto"/>
        </w:rPr>
        <w:t>is</w:t>
      </w:r>
      <w:r w:rsidRPr="00623EE6">
        <w:rPr>
          <w:color w:val="auto"/>
        </w:rPr>
        <w:t xml:space="preserve"> report, we have drawn </w:t>
      </w:r>
      <w:r w:rsidR="00665D9C" w:rsidRPr="00623EE6">
        <w:rPr>
          <w:color w:val="auto"/>
        </w:rPr>
        <w:t>together</w:t>
      </w:r>
      <w:r w:rsidRPr="00623EE6">
        <w:rPr>
          <w:color w:val="auto"/>
        </w:rPr>
        <w:t xml:space="preserve"> qualitative evidence from local and national community justice partners aligned to the </w:t>
      </w:r>
      <w:r w:rsidR="001D7FD8" w:rsidRPr="00623EE6">
        <w:rPr>
          <w:color w:val="auto"/>
        </w:rPr>
        <w:t>13 p</w:t>
      </w:r>
      <w:r w:rsidRPr="00623EE6">
        <w:rPr>
          <w:color w:val="auto"/>
        </w:rPr>
        <w:t xml:space="preserve">riority </w:t>
      </w:r>
      <w:r w:rsidR="001D7FD8" w:rsidRPr="00623EE6">
        <w:rPr>
          <w:color w:val="auto"/>
        </w:rPr>
        <w:t>a</w:t>
      </w:r>
      <w:r w:rsidRPr="00623EE6">
        <w:rPr>
          <w:color w:val="auto"/>
        </w:rPr>
        <w:t>ctions</w:t>
      </w:r>
      <w:r w:rsidR="004713BF" w:rsidRPr="00623EE6">
        <w:rPr>
          <w:color w:val="auto"/>
        </w:rPr>
        <w:t xml:space="preserve"> </w:t>
      </w:r>
      <w:r w:rsidR="00BD1FD5" w:rsidRPr="00623EE6">
        <w:rPr>
          <w:color w:val="auto"/>
        </w:rPr>
        <w:t xml:space="preserve">contained in the </w:t>
      </w:r>
      <w:r w:rsidR="003C1F48" w:rsidRPr="00623EE6">
        <w:rPr>
          <w:color w:val="auto"/>
        </w:rPr>
        <w:t>national</w:t>
      </w:r>
      <w:r w:rsidR="003F4508" w:rsidRPr="00623EE6">
        <w:rPr>
          <w:color w:val="auto"/>
        </w:rPr>
        <w:t xml:space="preserve"> </w:t>
      </w:r>
      <w:r w:rsidR="001D7FD8" w:rsidRPr="00623EE6">
        <w:rPr>
          <w:color w:val="auto"/>
        </w:rPr>
        <w:t>strategy</w:t>
      </w:r>
      <w:r w:rsidR="008B0C10">
        <w:rPr>
          <w:color w:val="auto"/>
        </w:rPr>
        <w:t>, set in context alongside</w:t>
      </w:r>
      <w:r w:rsidR="0088482D" w:rsidRPr="00623EE6">
        <w:rPr>
          <w:color w:val="auto"/>
        </w:rPr>
        <w:t xml:space="preserve"> the</w:t>
      </w:r>
      <w:r w:rsidRPr="00623EE6">
        <w:rPr>
          <w:color w:val="auto"/>
        </w:rPr>
        <w:t xml:space="preserve"> </w:t>
      </w:r>
      <w:r w:rsidR="00E3773F" w:rsidRPr="00623EE6">
        <w:rPr>
          <w:color w:val="auto"/>
        </w:rPr>
        <w:t>10</w:t>
      </w:r>
      <w:r w:rsidRPr="00623EE6">
        <w:rPr>
          <w:color w:val="auto"/>
        </w:rPr>
        <w:t xml:space="preserve"> quantitative national indicators set out in the CJPF. </w:t>
      </w:r>
    </w:p>
    <w:p w14:paraId="2633FBCA" w14:textId="13A456ED" w:rsidR="00936A63" w:rsidRPr="00623EE6" w:rsidRDefault="00DC19F7" w:rsidP="00936A63">
      <w:pPr>
        <w:rPr>
          <w:color w:val="auto"/>
        </w:rPr>
      </w:pPr>
      <w:r w:rsidRPr="00623EE6">
        <w:rPr>
          <w:color w:val="auto"/>
        </w:rPr>
        <w:t>Our</w:t>
      </w:r>
      <w:r w:rsidR="00936A63" w:rsidRPr="00623EE6">
        <w:rPr>
          <w:color w:val="auto"/>
        </w:rPr>
        <w:t xml:space="preserve"> report includes recommendations </w:t>
      </w:r>
      <w:r w:rsidR="00491AEB" w:rsidRPr="00623EE6">
        <w:rPr>
          <w:color w:val="auto"/>
        </w:rPr>
        <w:t xml:space="preserve">on joint work </w:t>
      </w:r>
      <w:r w:rsidR="00936A63" w:rsidRPr="00623EE6">
        <w:rPr>
          <w:color w:val="auto"/>
        </w:rPr>
        <w:t>for the Scottish Government</w:t>
      </w:r>
      <w:r w:rsidR="00EC34E6" w:rsidRPr="00623EE6">
        <w:rPr>
          <w:color w:val="auto"/>
        </w:rPr>
        <w:t>,</w:t>
      </w:r>
      <w:r w:rsidR="00936A63" w:rsidRPr="00623EE6">
        <w:rPr>
          <w:color w:val="auto"/>
        </w:rPr>
        <w:t xml:space="preserve"> community justice partners</w:t>
      </w:r>
      <w:r w:rsidR="000D5E8B" w:rsidRPr="00623EE6">
        <w:rPr>
          <w:color w:val="auto"/>
        </w:rPr>
        <w:t xml:space="preserve"> and </w:t>
      </w:r>
      <w:r w:rsidR="00491AEB" w:rsidRPr="00623EE6">
        <w:rPr>
          <w:color w:val="auto"/>
        </w:rPr>
        <w:t>CJS</w:t>
      </w:r>
      <w:r w:rsidR="00936A63" w:rsidRPr="00623EE6">
        <w:rPr>
          <w:color w:val="auto"/>
        </w:rPr>
        <w:t>.</w:t>
      </w:r>
    </w:p>
    <w:p w14:paraId="334F2B15" w14:textId="77777777" w:rsidR="00936A63" w:rsidRPr="00623EE6" w:rsidRDefault="00936A63" w:rsidP="00D36C67">
      <w:pPr>
        <w:rPr>
          <w:b/>
          <w:bCs/>
        </w:rPr>
      </w:pPr>
      <w:r w:rsidRPr="00623EE6">
        <w:rPr>
          <w:b/>
          <w:bCs/>
        </w:rPr>
        <w:t>Community Justice Strategy Delivery Plan</w:t>
      </w:r>
    </w:p>
    <w:p w14:paraId="6E00A600" w14:textId="4B7AD2D1" w:rsidR="0057270E" w:rsidRPr="00623EE6" w:rsidRDefault="00936A63" w:rsidP="00936A63">
      <w:pPr>
        <w:rPr>
          <w:color w:val="auto"/>
        </w:rPr>
      </w:pPr>
      <w:r w:rsidRPr="00623EE6">
        <w:rPr>
          <w:color w:val="auto"/>
        </w:rPr>
        <w:lastRenderedPageBreak/>
        <w:t xml:space="preserve">In June 2023 </w:t>
      </w:r>
      <w:r w:rsidR="00EC34E6" w:rsidRPr="00623EE6">
        <w:rPr>
          <w:color w:val="auto"/>
        </w:rPr>
        <w:t xml:space="preserve">the </w:t>
      </w:r>
      <w:r w:rsidRPr="00623EE6">
        <w:rPr>
          <w:color w:val="auto"/>
        </w:rPr>
        <w:t xml:space="preserve">Scottish Government published a </w:t>
      </w:r>
      <w:hyperlink r:id="rId20" w:history="1">
        <w:r w:rsidR="00EC34E6" w:rsidRPr="00623EE6">
          <w:rPr>
            <w:rStyle w:val="Hyperlink"/>
            <w:color w:val="auto"/>
          </w:rPr>
          <w:t>d</w:t>
        </w:r>
        <w:r w:rsidRPr="00623EE6">
          <w:rPr>
            <w:rStyle w:val="Hyperlink"/>
            <w:color w:val="auto"/>
          </w:rPr>
          <w:t xml:space="preserve">elivery </w:t>
        </w:r>
        <w:r w:rsidR="00EC34E6" w:rsidRPr="00623EE6">
          <w:rPr>
            <w:rStyle w:val="Hyperlink"/>
            <w:color w:val="auto"/>
          </w:rPr>
          <w:t>p</w:t>
        </w:r>
        <w:r w:rsidRPr="00623EE6">
          <w:rPr>
            <w:rStyle w:val="Hyperlink"/>
            <w:color w:val="auto"/>
          </w:rPr>
          <w:t>lan</w:t>
        </w:r>
      </w:hyperlink>
      <w:r w:rsidRPr="00623EE6">
        <w:rPr>
          <w:color w:val="auto"/>
        </w:rPr>
        <w:t xml:space="preserve"> to </w:t>
      </w:r>
      <w:r w:rsidR="00545D12" w:rsidRPr="00623EE6">
        <w:rPr>
          <w:color w:val="auto"/>
        </w:rPr>
        <w:t>support</w:t>
      </w:r>
      <w:r w:rsidRPr="00623EE6">
        <w:rPr>
          <w:color w:val="auto"/>
        </w:rPr>
        <w:t xml:space="preserve"> the </w:t>
      </w:r>
      <w:r w:rsidR="00EC34E6" w:rsidRPr="00623EE6">
        <w:rPr>
          <w:color w:val="auto"/>
        </w:rPr>
        <w:t>n</w:t>
      </w:r>
      <w:r w:rsidRPr="00623EE6">
        <w:rPr>
          <w:color w:val="auto"/>
        </w:rPr>
        <w:t xml:space="preserve">ational </w:t>
      </w:r>
      <w:r w:rsidR="00EC34E6" w:rsidRPr="00623EE6">
        <w:rPr>
          <w:color w:val="auto"/>
        </w:rPr>
        <w:t>s</w:t>
      </w:r>
      <w:r w:rsidRPr="00623EE6">
        <w:rPr>
          <w:color w:val="auto"/>
        </w:rPr>
        <w:t>trategy.</w:t>
      </w:r>
      <w:r w:rsidR="0079518D" w:rsidRPr="00623EE6">
        <w:rPr>
          <w:color w:val="auto"/>
        </w:rPr>
        <w:t xml:space="preserve"> </w:t>
      </w:r>
      <w:r w:rsidRPr="00623EE6">
        <w:rPr>
          <w:color w:val="auto"/>
        </w:rPr>
        <w:t>Th</w:t>
      </w:r>
      <w:r w:rsidR="00B72836" w:rsidRPr="00623EE6">
        <w:rPr>
          <w:color w:val="auto"/>
        </w:rPr>
        <w:t xml:space="preserve">e </w:t>
      </w:r>
      <w:r w:rsidR="007E6A6F" w:rsidRPr="00623EE6">
        <w:rPr>
          <w:color w:val="auto"/>
        </w:rPr>
        <w:t>p</w:t>
      </w:r>
      <w:r w:rsidR="00B72836" w:rsidRPr="00623EE6">
        <w:rPr>
          <w:color w:val="auto"/>
        </w:rPr>
        <w:t>lan</w:t>
      </w:r>
      <w:r w:rsidRPr="00623EE6">
        <w:rPr>
          <w:color w:val="auto"/>
        </w:rPr>
        <w:t xml:space="preserve"> </w:t>
      </w:r>
      <w:r w:rsidR="00DE5FDF" w:rsidRPr="00623EE6">
        <w:rPr>
          <w:color w:val="auto"/>
        </w:rPr>
        <w:t xml:space="preserve">assigns </w:t>
      </w:r>
      <w:r w:rsidRPr="00623EE6">
        <w:rPr>
          <w:color w:val="auto"/>
        </w:rPr>
        <w:t>deliverables</w:t>
      </w:r>
      <w:r w:rsidR="00DE5FDF" w:rsidRPr="00623EE6">
        <w:rPr>
          <w:color w:val="auto"/>
        </w:rPr>
        <w:t xml:space="preserve"> </w:t>
      </w:r>
      <w:r w:rsidR="00AC563A" w:rsidRPr="00623EE6">
        <w:rPr>
          <w:color w:val="auto"/>
        </w:rPr>
        <w:t xml:space="preserve">for </w:t>
      </w:r>
      <w:r w:rsidR="00D63E72" w:rsidRPr="00623EE6">
        <w:rPr>
          <w:color w:val="auto"/>
        </w:rPr>
        <w:t xml:space="preserve">the </w:t>
      </w:r>
      <w:r w:rsidR="000209FD" w:rsidRPr="00623EE6">
        <w:rPr>
          <w:color w:val="auto"/>
        </w:rPr>
        <w:t xml:space="preserve">Scottish Government and community justice </w:t>
      </w:r>
      <w:r w:rsidR="00E31CDB" w:rsidRPr="00623EE6">
        <w:rPr>
          <w:color w:val="auto"/>
        </w:rPr>
        <w:t>partners over the lifetime of the</w:t>
      </w:r>
      <w:r w:rsidR="00700C93" w:rsidRPr="00623EE6">
        <w:rPr>
          <w:color w:val="auto"/>
        </w:rPr>
        <w:t xml:space="preserve"> </w:t>
      </w:r>
      <w:r w:rsidR="00AC563A" w:rsidRPr="00623EE6">
        <w:rPr>
          <w:color w:val="auto"/>
        </w:rPr>
        <w:t>n</w:t>
      </w:r>
      <w:r w:rsidR="00700C93" w:rsidRPr="00623EE6">
        <w:rPr>
          <w:color w:val="auto"/>
        </w:rPr>
        <w:t xml:space="preserve">ational </w:t>
      </w:r>
      <w:r w:rsidR="00AC563A" w:rsidRPr="00623EE6">
        <w:rPr>
          <w:color w:val="auto"/>
        </w:rPr>
        <w:t>s</w:t>
      </w:r>
      <w:r w:rsidR="00700C93" w:rsidRPr="00623EE6">
        <w:rPr>
          <w:color w:val="auto"/>
        </w:rPr>
        <w:t>trategy</w:t>
      </w:r>
      <w:r w:rsidRPr="00623EE6">
        <w:rPr>
          <w:color w:val="auto"/>
        </w:rPr>
        <w:t xml:space="preserve"> </w:t>
      </w:r>
      <w:r w:rsidR="00DD05E8" w:rsidRPr="00623EE6">
        <w:rPr>
          <w:color w:val="auto"/>
        </w:rPr>
        <w:t xml:space="preserve">against each of </w:t>
      </w:r>
      <w:r w:rsidR="00700C93" w:rsidRPr="00623EE6">
        <w:rPr>
          <w:color w:val="auto"/>
        </w:rPr>
        <w:t>its</w:t>
      </w:r>
      <w:r w:rsidR="00DD05E8" w:rsidRPr="00623EE6">
        <w:rPr>
          <w:color w:val="auto"/>
        </w:rPr>
        <w:t xml:space="preserve"> </w:t>
      </w:r>
      <w:r w:rsidR="00DB5EFA" w:rsidRPr="00623EE6">
        <w:rPr>
          <w:color w:val="auto"/>
        </w:rPr>
        <w:t>four</w:t>
      </w:r>
      <w:r w:rsidR="002E5BB9" w:rsidRPr="00623EE6">
        <w:rPr>
          <w:color w:val="auto"/>
        </w:rPr>
        <w:t xml:space="preserve"> </w:t>
      </w:r>
      <w:r w:rsidR="00AC563A" w:rsidRPr="00623EE6">
        <w:rPr>
          <w:color w:val="auto"/>
        </w:rPr>
        <w:t>n</w:t>
      </w:r>
      <w:r w:rsidR="002E5BB9" w:rsidRPr="00623EE6">
        <w:rPr>
          <w:color w:val="auto"/>
        </w:rPr>
        <w:t xml:space="preserve">ational </w:t>
      </w:r>
      <w:r w:rsidR="00AC563A" w:rsidRPr="00623EE6">
        <w:rPr>
          <w:color w:val="auto"/>
        </w:rPr>
        <w:t>a</w:t>
      </w:r>
      <w:r w:rsidR="002E5BB9" w:rsidRPr="00623EE6">
        <w:rPr>
          <w:color w:val="auto"/>
        </w:rPr>
        <w:t xml:space="preserve">ims and </w:t>
      </w:r>
      <w:r w:rsidR="00FE7FCD" w:rsidRPr="00623EE6">
        <w:rPr>
          <w:color w:val="auto"/>
        </w:rPr>
        <w:t xml:space="preserve">13 </w:t>
      </w:r>
      <w:r w:rsidR="00DB5EFA" w:rsidRPr="00623EE6">
        <w:rPr>
          <w:color w:val="auto"/>
        </w:rPr>
        <w:t>p</w:t>
      </w:r>
      <w:r w:rsidR="00FE7FCD" w:rsidRPr="00623EE6">
        <w:rPr>
          <w:color w:val="auto"/>
        </w:rPr>
        <w:t xml:space="preserve">riority </w:t>
      </w:r>
      <w:r w:rsidR="00DB5EFA" w:rsidRPr="00623EE6">
        <w:rPr>
          <w:color w:val="auto"/>
        </w:rPr>
        <w:t>a</w:t>
      </w:r>
      <w:r w:rsidR="00FE7FCD" w:rsidRPr="00623EE6">
        <w:rPr>
          <w:color w:val="auto"/>
        </w:rPr>
        <w:t>ctions</w:t>
      </w:r>
      <w:r w:rsidR="0057270E" w:rsidRPr="00623EE6">
        <w:rPr>
          <w:color w:val="auto"/>
        </w:rPr>
        <w:t>.</w:t>
      </w:r>
    </w:p>
    <w:p w14:paraId="5C035E6E" w14:textId="1EB1D967" w:rsidR="00D87170" w:rsidRPr="00623EE6" w:rsidRDefault="00DB5EFA" w:rsidP="00936A63">
      <w:pPr>
        <w:rPr>
          <w:color w:val="auto"/>
        </w:rPr>
      </w:pPr>
      <w:r w:rsidRPr="00623EE6">
        <w:rPr>
          <w:color w:val="auto"/>
        </w:rPr>
        <w:t xml:space="preserve">The plan </w:t>
      </w:r>
      <w:r w:rsidR="0057270E" w:rsidRPr="00623EE6">
        <w:rPr>
          <w:color w:val="auto"/>
        </w:rPr>
        <w:t xml:space="preserve">details </w:t>
      </w:r>
      <w:r w:rsidR="00936A63" w:rsidRPr="00623EE6">
        <w:rPr>
          <w:color w:val="auto"/>
        </w:rPr>
        <w:t xml:space="preserve">work </w:t>
      </w:r>
      <w:r w:rsidR="00EB2BFE" w:rsidRPr="00623EE6">
        <w:rPr>
          <w:color w:val="auto"/>
        </w:rPr>
        <w:t>needed</w:t>
      </w:r>
      <w:r w:rsidR="00936A63" w:rsidRPr="00623EE6">
        <w:rPr>
          <w:color w:val="auto"/>
        </w:rPr>
        <w:t xml:space="preserve"> nationally, involving a range of national agencies and professional bodies and linking across policy areas. Each action sets out the relevant context and </w:t>
      </w:r>
      <w:r w:rsidR="00CA523F" w:rsidRPr="00623EE6">
        <w:rPr>
          <w:color w:val="auto"/>
        </w:rPr>
        <w:t>rationale and</w:t>
      </w:r>
      <w:r w:rsidR="00936A63" w:rsidRPr="00623EE6">
        <w:rPr>
          <w:color w:val="auto"/>
        </w:rPr>
        <w:t xml:space="preserve"> includes timescale</w:t>
      </w:r>
      <w:r w:rsidR="0057270E" w:rsidRPr="00623EE6">
        <w:rPr>
          <w:color w:val="auto"/>
        </w:rPr>
        <w:t>s</w:t>
      </w:r>
      <w:r w:rsidR="00936A63" w:rsidRPr="00623EE6">
        <w:rPr>
          <w:color w:val="auto"/>
        </w:rPr>
        <w:t xml:space="preserve"> and lead partner.</w:t>
      </w:r>
      <w:r w:rsidR="0079518D" w:rsidRPr="00623EE6">
        <w:rPr>
          <w:color w:val="auto"/>
        </w:rPr>
        <w:t xml:space="preserve"> </w:t>
      </w:r>
      <w:r w:rsidR="000A7BFE" w:rsidRPr="00623EE6">
        <w:rPr>
          <w:color w:val="auto"/>
        </w:rPr>
        <w:t>While this</w:t>
      </w:r>
      <w:r w:rsidR="00936A63" w:rsidRPr="00623EE6">
        <w:rPr>
          <w:color w:val="auto"/>
        </w:rPr>
        <w:t xml:space="preserve"> report does not duplicate the </w:t>
      </w:r>
      <w:hyperlink r:id="rId21" w:history="1">
        <w:r w:rsidR="00936A63" w:rsidRPr="00623EE6">
          <w:rPr>
            <w:rStyle w:val="Hyperlink"/>
            <w:color w:val="auto"/>
          </w:rPr>
          <w:t>progress reporting</w:t>
        </w:r>
      </w:hyperlink>
      <w:r w:rsidR="00936A63" w:rsidRPr="00623EE6">
        <w:rPr>
          <w:color w:val="auto"/>
        </w:rPr>
        <w:t xml:space="preserve"> undertaken by </w:t>
      </w:r>
      <w:r w:rsidR="00B47592" w:rsidRPr="00623EE6">
        <w:rPr>
          <w:color w:val="auto"/>
        </w:rPr>
        <w:t xml:space="preserve">the </w:t>
      </w:r>
      <w:r w:rsidR="00936A63" w:rsidRPr="00623EE6">
        <w:rPr>
          <w:color w:val="auto"/>
        </w:rPr>
        <w:t>Scottish Government</w:t>
      </w:r>
      <w:r w:rsidR="0057270E" w:rsidRPr="00623EE6">
        <w:rPr>
          <w:color w:val="auto"/>
        </w:rPr>
        <w:t xml:space="preserve"> against</w:t>
      </w:r>
      <w:r w:rsidR="00936A63" w:rsidRPr="00623EE6">
        <w:rPr>
          <w:color w:val="auto"/>
        </w:rPr>
        <w:t xml:space="preserve"> the delivery plan, </w:t>
      </w:r>
      <w:bookmarkStart w:id="2" w:name="_Hlk189202808"/>
      <w:r w:rsidR="00AD487E" w:rsidRPr="00623EE6">
        <w:rPr>
          <w:color w:val="auto"/>
        </w:rPr>
        <w:t>we do</w:t>
      </w:r>
      <w:r w:rsidR="00936A63" w:rsidRPr="00623EE6">
        <w:rPr>
          <w:color w:val="auto"/>
        </w:rPr>
        <w:t xml:space="preserve"> </w:t>
      </w:r>
      <w:r w:rsidR="00151299" w:rsidRPr="00623EE6">
        <w:rPr>
          <w:color w:val="auto"/>
        </w:rPr>
        <w:t>refer</w:t>
      </w:r>
      <w:r w:rsidR="00CD4992" w:rsidRPr="00623EE6">
        <w:rPr>
          <w:color w:val="auto"/>
        </w:rPr>
        <w:t xml:space="preserve"> </w:t>
      </w:r>
      <w:r w:rsidR="00936A63" w:rsidRPr="00623EE6">
        <w:rPr>
          <w:color w:val="auto"/>
        </w:rPr>
        <w:t xml:space="preserve">to activity </w:t>
      </w:r>
      <w:r w:rsidR="0057270E" w:rsidRPr="00623EE6">
        <w:rPr>
          <w:color w:val="auto"/>
        </w:rPr>
        <w:t xml:space="preserve">relevant to </w:t>
      </w:r>
      <w:r w:rsidR="00936A63" w:rsidRPr="00623EE6">
        <w:rPr>
          <w:color w:val="auto"/>
        </w:rPr>
        <w:t>the 2023-24 reporting year.</w:t>
      </w:r>
      <w:bookmarkEnd w:id="2"/>
    </w:p>
    <w:p w14:paraId="0DFB234C" w14:textId="77777777" w:rsidR="00785FD5" w:rsidRPr="00623EE6" w:rsidRDefault="00785FD5" w:rsidP="00936A63">
      <w:pPr>
        <w:rPr>
          <w:b/>
          <w:bCs/>
          <w:color w:val="auto"/>
        </w:rPr>
      </w:pPr>
      <w:r w:rsidRPr="00623EE6">
        <w:rPr>
          <w:b/>
          <w:bCs/>
          <w:color w:val="auto"/>
        </w:rPr>
        <w:t>The local picture</w:t>
      </w:r>
    </w:p>
    <w:p w14:paraId="14AEBDED" w14:textId="5295BFEF" w:rsidR="00D87170" w:rsidRPr="00623EE6" w:rsidRDefault="00D87170" w:rsidP="00936A63">
      <w:pPr>
        <w:rPr>
          <w:color w:val="auto"/>
        </w:rPr>
      </w:pPr>
      <w:r w:rsidRPr="00623EE6">
        <w:rPr>
          <w:color w:val="auto"/>
        </w:rPr>
        <w:t xml:space="preserve">Local interconnections of statutory and community partners are an essential feature </w:t>
      </w:r>
      <w:r w:rsidR="00B47592" w:rsidRPr="00623EE6">
        <w:rPr>
          <w:color w:val="auto"/>
        </w:rPr>
        <w:t xml:space="preserve">of </w:t>
      </w:r>
      <w:r w:rsidRPr="00623EE6">
        <w:rPr>
          <w:color w:val="auto"/>
        </w:rPr>
        <w:t xml:space="preserve">the design of </w:t>
      </w:r>
      <w:r w:rsidR="006D4A43" w:rsidRPr="00623EE6">
        <w:rPr>
          <w:color w:val="auto"/>
        </w:rPr>
        <w:t>c</w:t>
      </w:r>
      <w:r w:rsidRPr="00623EE6">
        <w:rPr>
          <w:color w:val="auto"/>
        </w:rPr>
        <w:t xml:space="preserve">ommunity </w:t>
      </w:r>
      <w:r w:rsidR="006D4A43" w:rsidRPr="00623EE6">
        <w:rPr>
          <w:color w:val="auto"/>
        </w:rPr>
        <w:t>j</w:t>
      </w:r>
      <w:r w:rsidRPr="00623EE6">
        <w:rPr>
          <w:color w:val="auto"/>
        </w:rPr>
        <w:t xml:space="preserve">ustice in Scotland. Demonstrating this diversity within a </w:t>
      </w:r>
      <w:r w:rsidR="00CA523F" w:rsidRPr="00623EE6">
        <w:rPr>
          <w:color w:val="auto"/>
        </w:rPr>
        <w:t>single report risk</w:t>
      </w:r>
      <w:r w:rsidR="00CA523F">
        <w:rPr>
          <w:color w:val="auto"/>
        </w:rPr>
        <w:t>s</w:t>
      </w:r>
      <w:r w:rsidRPr="00623EE6">
        <w:rPr>
          <w:color w:val="auto"/>
        </w:rPr>
        <w:t xml:space="preserve"> presenting a picture which appears more homogenous than the reality of multiple systems which touch thousands of communities. Therefore, </w:t>
      </w:r>
      <w:r w:rsidR="00A07537" w:rsidRPr="00623EE6">
        <w:rPr>
          <w:color w:val="auto"/>
        </w:rPr>
        <w:t>we</w:t>
      </w:r>
      <w:r w:rsidR="006D4A43" w:rsidRPr="00623EE6">
        <w:rPr>
          <w:color w:val="auto"/>
        </w:rPr>
        <w:t xml:space="preserve"> have</w:t>
      </w:r>
      <w:r w:rsidRPr="00623EE6">
        <w:rPr>
          <w:color w:val="auto"/>
        </w:rPr>
        <w:t xml:space="preserve"> provided an </w:t>
      </w:r>
      <w:r w:rsidR="00A07537" w:rsidRPr="00623EE6">
        <w:rPr>
          <w:color w:val="auto"/>
        </w:rPr>
        <w:t>supplementary</w:t>
      </w:r>
      <w:r w:rsidRPr="00623EE6">
        <w:rPr>
          <w:color w:val="auto"/>
        </w:rPr>
        <w:t xml:space="preserve"> paper, </w:t>
      </w:r>
      <w:r w:rsidR="00A07537" w:rsidRPr="00623EE6">
        <w:rPr>
          <w:color w:val="auto"/>
        </w:rPr>
        <w:t>‘</w:t>
      </w:r>
      <w:hyperlink r:id="rId22" w:history="1">
        <w:r w:rsidRPr="00975399">
          <w:rPr>
            <w:rStyle w:val="Hyperlink"/>
          </w:rPr>
          <w:t>Learning from Local Areas</w:t>
        </w:r>
        <w:r w:rsidR="00A07537" w:rsidRPr="00975399">
          <w:rPr>
            <w:rStyle w:val="Hyperlink"/>
          </w:rPr>
          <w:t>’</w:t>
        </w:r>
      </w:hyperlink>
      <w:r w:rsidRPr="00623EE6">
        <w:rPr>
          <w:color w:val="auto"/>
        </w:rPr>
        <w:t xml:space="preserve"> which draws text directly from information provided by </w:t>
      </w:r>
      <w:r w:rsidR="001F2E3B" w:rsidRPr="00623EE6">
        <w:rPr>
          <w:color w:val="auto"/>
        </w:rPr>
        <w:t>Community Justice Partnerships (</w:t>
      </w:r>
      <w:r w:rsidR="00B64201" w:rsidRPr="00623EE6">
        <w:rPr>
          <w:color w:val="auto"/>
        </w:rPr>
        <w:t>CJPs</w:t>
      </w:r>
      <w:r w:rsidR="001F2E3B" w:rsidRPr="00623EE6">
        <w:rPr>
          <w:color w:val="auto"/>
        </w:rPr>
        <w:t>)</w:t>
      </w:r>
      <w:r w:rsidRPr="00623EE6">
        <w:rPr>
          <w:color w:val="auto"/>
        </w:rPr>
        <w:t>.</w:t>
      </w:r>
    </w:p>
    <w:p w14:paraId="24249E02" w14:textId="77777777" w:rsidR="00D87170" w:rsidRPr="00623EE6" w:rsidRDefault="00D87170" w:rsidP="00936A63">
      <w:pPr>
        <w:rPr>
          <w:color w:val="auto"/>
        </w:rPr>
      </w:pPr>
    </w:p>
    <w:p w14:paraId="1E600DE9" w14:textId="77777777" w:rsidR="00936A63" w:rsidRPr="00623EE6" w:rsidRDefault="00936A63" w:rsidP="00936A63">
      <w:pPr>
        <w:rPr>
          <w:rFonts w:ascii="Open Sans SemiBold" w:hAnsi="Open Sans SemiBold" w:cs="Times New Roman"/>
          <w:color w:val="auto"/>
          <w:sz w:val="44"/>
        </w:rPr>
      </w:pPr>
      <w:r w:rsidRPr="00623EE6">
        <w:rPr>
          <w:color w:val="auto"/>
        </w:rPr>
        <w:br w:type="page"/>
      </w:r>
    </w:p>
    <w:p w14:paraId="18D53239" w14:textId="7127DBD9" w:rsidR="00866BFA" w:rsidRPr="00623EE6" w:rsidRDefault="00866BFA" w:rsidP="00B456C1">
      <w:pPr>
        <w:pStyle w:val="Heading1"/>
      </w:pPr>
      <w:bookmarkStart w:id="3" w:name="_Toc193901781"/>
      <w:r w:rsidRPr="00623EE6">
        <w:lastRenderedPageBreak/>
        <w:t>Foreword</w:t>
      </w:r>
      <w:bookmarkEnd w:id="3"/>
    </w:p>
    <w:p w14:paraId="0BF84000" w14:textId="020EC15B" w:rsidR="00172E25" w:rsidRDefault="00172E25" w:rsidP="00172E25">
      <w:pPr>
        <w:spacing w:after="35" w:line="259" w:lineRule="auto"/>
        <w:ind w:right="266"/>
        <w:jc w:val="center"/>
      </w:pPr>
      <w:r>
        <w:rPr>
          <w:noProof/>
        </w:rPr>
        <w:drawing>
          <wp:inline distT="0" distB="0" distL="0" distR="0" wp14:anchorId="3DD4885D" wp14:editId="16AE6B89">
            <wp:extent cx="4648200" cy="3320595"/>
            <wp:effectExtent l="0" t="0" r="0" b="0"/>
            <wp:docPr id="509" name="Picture 509" descr="Photograph of Karyn McCluskey and Catherine Dyer"/>
            <wp:cNvGraphicFramePr/>
            <a:graphic xmlns:a="http://schemas.openxmlformats.org/drawingml/2006/main">
              <a:graphicData uri="http://schemas.openxmlformats.org/drawingml/2006/picture">
                <pic:pic xmlns:pic="http://schemas.openxmlformats.org/drawingml/2006/picture">
                  <pic:nvPicPr>
                    <pic:cNvPr id="509" name="Picture 509" descr="Photograph of Karyn McCluskey and Catherine Dyer"/>
                    <pic:cNvPicPr/>
                  </pic:nvPicPr>
                  <pic:blipFill>
                    <a:blip r:embed="rId23"/>
                    <a:stretch>
                      <a:fillRect/>
                    </a:stretch>
                  </pic:blipFill>
                  <pic:spPr>
                    <a:xfrm>
                      <a:off x="0" y="0"/>
                      <a:ext cx="4660063" cy="3329069"/>
                    </a:xfrm>
                    <a:prstGeom prst="rect">
                      <a:avLst/>
                    </a:prstGeom>
                  </pic:spPr>
                </pic:pic>
              </a:graphicData>
            </a:graphic>
          </wp:inline>
        </w:drawing>
      </w:r>
    </w:p>
    <w:p w14:paraId="4DBBEF34" w14:textId="77777777" w:rsidR="00172E25" w:rsidRDefault="00172E25" w:rsidP="00172E25">
      <w:pPr>
        <w:spacing w:after="285" w:line="259" w:lineRule="auto"/>
      </w:pPr>
      <w:r>
        <w:rPr>
          <w:rFonts w:eastAsia="Roboto" w:cs="Roboto"/>
          <w:i/>
          <w:color w:val="44546A"/>
          <w:sz w:val="18"/>
        </w:rPr>
        <w:t xml:space="preserve">Karyn McCluskey, Chief Executive of Community Justice Scotland, and Catherine Dyer CBE, Chair of the CJS Board </w:t>
      </w:r>
    </w:p>
    <w:p w14:paraId="062B1AA3" w14:textId="2F66C318" w:rsidR="00E94B24" w:rsidRDefault="00E94B24" w:rsidP="00E94B24">
      <w:pPr>
        <w:spacing w:before="100" w:beforeAutospacing="1" w:after="100" w:afterAutospacing="1"/>
        <w:rPr>
          <w:rFonts w:ascii="Aptos" w:hAnsi="Aptos" w:cs="Aptos"/>
          <w:color w:val="auto"/>
          <w:szCs w:val="24"/>
        </w:rPr>
      </w:pPr>
      <w:r>
        <w:t>Now more than ever, Scotland needs robust, well-funded, and well-organised community justice services. While the crisis in prison numbers has dominated headlines, far less attention has been given to the solution: strengthening community justice</w:t>
      </w:r>
      <w:r w:rsidR="00F960CB">
        <w:t>,</w:t>
      </w:r>
      <w:r>
        <w:t xml:space="preserve"> to relieve pressure on the prison system and contribute to a safer Scotland.</w:t>
      </w:r>
    </w:p>
    <w:p w14:paraId="3EA99457" w14:textId="77777777" w:rsidR="00E94B24" w:rsidRDefault="00E94B24" w:rsidP="00E94B24">
      <w:pPr>
        <w:spacing w:before="100" w:beforeAutospacing="1" w:after="100" w:afterAutospacing="1"/>
      </w:pPr>
      <w:r>
        <w:t>We advocate for a </w:t>
      </w:r>
      <w:r>
        <w:rPr>
          <w:rStyle w:val="Strong"/>
        </w:rPr>
        <w:t>‘Community First’</w:t>
      </w:r>
      <w:r>
        <w:t> approach—supporting individuals safely in the community, prioritising rehabilitation, and addressing their needs while justice professionals manage their offending behaviour. Through unpaid work, individuals can make meaningful contributions to their communities, and many go on to transform their lives—becoming productive members of society while also addressing the harm they have caused.</w:t>
      </w:r>
    </w:p>
    <w:p w14:paraId="0AAC9F22" w14:textId="68AA5EA8" w:rsidR="00E94B24" w:rsidRDefault="00E94B24" w:rsidP="00E94B24">
      <w:pPr>
        <w:spacing w:before="100" w:beforeAutospacing="1" w:after="100" w:afterAutospacing="1"/>
      </w:pPr>
      <w:r>
        <w:t>Community justice often operates out of the public eye. Without uniforms or logos, it works quietly and diligently over years—managing risk and tackling the root causes of offending, such as substance use and mental health issues.</w:t>
      </w:r>
    </w:p>
    <w:p w14:paraId="1B618072" w14:textId="77777777" w:rsidR="00E94B24" w:rsidRDefault="00E94B24" w:rsidP="00E94B24">
      <w:pPr>
        <w:spacing w:before="100" w:beforeAutospacing="1" w:after="100" w:afterAutospacing="1"/>
      </w:pPr>
      <w:r>
        <w:t>For the first time, this report applies the new </w:t>
      </w:r>
      <w:r>
        <w:rPr>
          <w:rStyle w:val="Strong"/>
        </w:rPr>
        <w:t>performance framework for community justice</w:t>
      </w:r>
      <w:r>
        <w:t xml:space="preserve">, offering clear evidence of the impact of locally led partnerships in 2023–24. It highlights how previous successes have been built upon and how Scotland’s </w:t>
      </w:r>
      <w:r>
        <w:lastRenderedPageBreak/>
        <w:t>recovery from COVID-19 has created a solid foundation for the future. Crucially, the report demonstrates not only what has been achieved but also what more could be accomplished with greater investment.</w:t>
      </w:r>
    </w:p>
    <w:p w14:paraId="06894586" w14:textId="02B389C0" w:rsidR="00E94B24" w:rsidRDefault="00E94B24" w:rsidP="00E94B24">
      <w:pPr>
        <w:spacing w:before="100" w:beforeAutospacing="1" w:after="100" w:afterAutospacing="1"/>
      </w:pPr>
      <w:r>
        <w:t>Key areas of progress include diversion from prosecution, referrals to mental health and substance use services, bail supervision, electronic monitoring, and more. Each of these play a critical role in making community justice a </w:t>
      </w:r>
      <w:r>
        <w:rPr>
          <w:rStyle w:val="Strong"/>
        </w:rPr>
        <w:t>robust, effective, and cost-efficient</w:t>
      </w:r>
      <w:r>
        <w:t> means of reducing reoffending and supporting rehabilitation.</w:t>
      </w:r>
    </w:p>
    <w:p w14:paraId="5B3CCA51" w14:textId="77777777" w:rsidR="00E94B24" w:rsidRDefault="00E94B24" w:rsidP="00E94B24">
      <w:pPr>
        <w:spacing w:before="100" w:beforeAutospacing="1" w:after="100" w:afterAutospacing="1"/>
      </w:pPr>
      <w:r>
        <w:t>The report also underscores how local partnerships have managed the complexities of community sentences and reintegration after custody. The scale of delivery in 2023–24 is significant, and the evidence presented here confirms that </w:t>
      </w:r>
      <w:r>
        <w:rPr>
          <w:rStyle w:val="Strong"/>
        </w:rPr>
        <w:t>community justice is a core, effective pillar of Scotland’s justice system</w:t>
      </w:r>
      <w:r>
        <w:t>. While access to services remains uneven in some areas, real progress has been made.</w:t>
      </w:r>
    </w:p>
    <w:p w14:paraId="462A7ECF" w14:textId="77777777" w:rsidR="00E94B24" w:rsidRDefault="00E94B24" w:rsidP="00E94B24">
      <w:pPr>
        <w:spacing w:before="100" w:beforeAutospacing="1" w:after="100" w:afterAutospacing="1"/>
      </w:pPr>
      <w:r>
        <w:t>Yet, promoting community justice remains challenging. In an era of populism and polarised debates on justice, it takes sustained effort to present evidence, counter misinformation, and build public confidence in the system.</w:t>
      </w:r>
    </w:p>
    <w:p w14:paraId="674FAEED" w14:textId="33E9C343" w:rsidR="00E94B24" w:rsidRDefault="00E94B24" w:rsidP="00E94B24">
      <w:pPr>
        <w:spacing w:before="100" w:beforeAutospacing="1" w:after="100" w:afterAutospacing="1"/>
      </w:pPr>
      <w:r>
        <w:t>Finally, we must address funding. While recent increases in the community justice budget are welcome, they represent only a small fraction of overall justice spending. To fully realise the vision for justice in Scotland, a </w:t>
      </w:r>
      <w:r>
        <w:rPr>
          <w:rStyle w:val="Strong"/>
        </w:rPr>
        <w:t>bold and radical shift in funding is essential</w:t>
      </w:r>
      <w:r>
        <w:t>.</w:t>
      </w:r>
      <w:r w:rsidR="00050B32">
        <w:t xml:space="preserve"> </w:t>
      </w:r>
    </w:p>
    <w:p w14:paraId="10A26FF7" w14:textId="019DB73C" w:rsidR="00D66075" w:rsidRPr="004C6477" w:rsidRDefault="00344891" w:rsidP="004C6477">
      <w:pPr>
        <w:spacing w:before="200" w:after="160"/>
        <w:ind w:left="864" w:right="864"/>
        <w:jc w:val="center"/>
        <w:rPr>
          <w:color w:val="auto"/>
        </w:rPr>
      </w:pPr>
      <w:r w:rsidRPr="00344891">
        <w:rPr>
          <w:i/>
          <w:iCs/>
          <w:color w:val="404040" w:themeColor="text1" w:themeTint="BF"/>
        </w:rPr>
        <w:t>‘In order to achieve the Scottish Government’s stated aims of using custody only where there is no alternative, and providing access to a range of consistent, effective community interventions, a robust system of alternatives to custody is required. “Robust” in this context implies adequate resourcing, and a suite of appropriate sentencing options which is capable of maintaining the confidence of the public and the judiciary’.</w:t>
      </w:r>
      <w:r w:rsidR="009D0794">
        <w:rPr>
          <w:i/>
          <w:iCs/>
          <w:color w:val="404040" w:themeColor="text1" w:themeTint="BF"/>
        </w:rPr>
        <w:t xml:space="preserve"> </w:t>
      </w:r>
      <w:r w:rsidRPr="00344891">
        <w:t>June 2023 – Scottish Sentencing Council report</w:t>
      </w:r>
      <w:r w:rsidR="00D4236E">
        <w:rPr>
          <w:rStyle w:val="FootnoteReference"/>
        </w:rPr>
        <w:footnoteReference w:id="3"/>
      </w:r>
    </w:p>
    <w:p w14:paraId="3FB9AED2" w14:textId="60049029" w:rsidR="00D66075" w:rsidRPr="0080395D" w:rsidRDefault="00D66075" w:rsidP="00EF5C90">
      <w:pPr>
        <w:rPr>
          <w:color w:val="auto"/>
          <w:lang w:val="en-US"/>
        </w:rPr>
        <w:sectPr w:rsidR="00D66075" w:rsidRPr="0080395D" w:rsidSect="00936A63">
          <w:pgSz w:w="11906" w:h="16838" w:code="9"/>
          <w:pgMar w:top="1440" w:right="1440" w:bottom="1440" w:left="1440" w:header="720" w:footer="720" w:gutter="0"/>
          <w:cols w:space="708"/>
          <w:docGrid w:linePitch="360"/>
        </w:sectPr>
      </w:pPr>
    </w:p>
    <w:p w14:paraId="0312B884" w14:textId="77777777" w:rsidR="00F078BB" w:rsidRPr="00623EE6" w:rsidRDefault="00F078BB" w:rsidP="00B456C1">
      <w:pPr>
        <w:pStyle w:val="Heading1"/>
      </w:pPr>
      <w:bookmarkStart w:id="4" w:name="_Toc193901782"/>
      <w:r w:rsidRPr="00623EE6">
        <w:lastRenderedPageBreak/>
        <w:t>Introduction</w:t>
      </w:r>
      <w:bookmarkEnd w:id="4"/>
    </w:p>
    <w:p w14:paraId="14AAE1C9" w14:textId="77777777" w:rsidR="00046164" w:rsidRDefault="00046164" w:rsidP="00046164">
      <w:pPr>
        <w:spacing w:before="100" w:beforeAutospacing="1" w:after="100" w:afterAutospacing="1"/>
      </w:pPr>
      <w:r>
        <w:t>This report examines the progress of Community Justice in Scotland during 2023–2024, using, for the first time, the new performance framework. This framework evaluates a range of community justice services and assesses the overall effectiveness of community justice at a national level. While community justice alone cannot fully resolve the challenges posed by Scotland’s growing prison population, it plays a crucial role in safely managing more individuals within the community, reducing reliance on custody, and promoting rehabilitation.</w:t>
      </w:r>
    </w:p>
    <w:p w14:paraId="7AA48C58" w14:textId="77777777" w:rsidR="00046164" w:rsidRDefault="00046164" w:rsidP="00046164">
      <w:pPr>
        <w:pStyle w:val="Heading3"/>
        <w:rPr>
          <w:rFonts w:eastAsia="Times New Roman"/>
        </w:rPr>
      </w:pPr>
      <w:r>
        <w:rPr>
          <w:rStyle w:val="Strong"/>
          <w:b/>
          <w:bCs/>
        </w:rPr>
        <w:t>Scotland’s Prison Population</w:t>
      </w:r>
    </w:p>
    <w:p w14:paraId="15A9123E" w14:textId="7333B445" w:rsidR="00046164" w:rsidRDefault="00046164" w:rsidP="00046164">
      <w:pPr>
        <w:spacing w:before="100" w:beforeAutospacing="1" w:after="100" w:afterAutospacing="1"/>
      </w:pPr>
      <w:r>
        <w:t>Scotland has long struggled with high levels of imprisonment, a challenge that has been the focus of government efforts since the 1990s. Despite these efforts, the prison population has continued to rise. At the end of March 2023</w:t>
      </w:r>
      <w:r w:rsidR="001E0DB3">
        <w:rPr>
          <w:rStyle w:val="FootnoteReference"/>
        </w:rPr>
        <w:footnoteReference w:id="4"/>
      </w:r>
      <w:r>
        <w:t>, the total prison population stood at </w:t>
      </w:r>
      <w:r>
        <w:rPr>
          <w:rStyle w:val="Strong"/>
        </w:rPr>
        <w:t>7,508</w:t>
      </w:r>
      <w:r>
        <w:t> (7,223 men and 285 women). By April 2024, this had increased to </w:t>
      </w:r>
      <w:r>
        <w:rPr>
          <w:rStyle w:val="Strong"/>
        </w:rPr>
        <w:t>8,042</w:t>
      </w:r>
      <w:r>
        <w:t> (7,724 men and 318 women). Notably, the number of individuals held on remand—including both untried individuals and those convicted but awaiting sentencing—also rose, making up </w:t>
      </w:r>
      <w:r>
        <w:rPr>
          <w:rStyle w:val="Strong"/>
        </w:rPr>
        <w:t>27%</w:t>
      </w:r>
      <w:r>
        <w:t> of the total prison population by the end of the period.</w:t>
      </w:r>
    </w:p>
    <w:p w14:paraId="122D9B2F" w14:textId="77777777" w:rsidR="00046164" w:rsidRDefault="00046164" w:rsidP="00046164">
      <w:pPr>
        <w:pStyle w:val="Heading3"/>
        <w:rPr>
          <w:rFonts w:eastAsia="Times New Roman"/>
        </w:rPr>
      </w:pPr>
      <w:r>
        <w:rPr>
          <w:rStyle w:val="Strong"/>
          <w:b/>
          <w:bCs/>
        </w:rPr>
        <w:t>Why is the Prison Population Increasing?</w:t>
      </w:r>
    </w:p>
    <w:p w14:paraId="7AA71890" w14:textId="77777777" w:rsidR="00046164" w:rsidRDefault="00046164" w:rsidP="00046164">
      <w:pPr>
        <w:spacing w:before="100" w:beforeAutospacing="1" w:after="100" w:afterAutospacing="1"/>
      </w:pPr>
      <w:r>
        <w:t>The factors driving the rising prison population are complex and multi-faceted. Each case that comes before the courts is unique, but evidence points to several key trends contributing to the increase:</w:t>
      </w:r>
    </w:p>
    <w:p w14:paraId="776638E1" w14:textId="77777777" w:rsidR="00046164" w:rsidRDefault="00046164" w:rsidP="001223CA">
      <w:pPr>
        <w:numPr>
          <w:ilvl w:val="0"/>
          <w:numId w:val="16"/>
        </w:numPr>
        <w:spacing w:before="100" w:beforeAutospacing="1" w:after="100" w:afterAutospacing="1" w:line="240" w:lineRule="auto"/>
      </w:pPr>
      <w:r>
        <w:rPr>
          <w:rStyle w:val="Strong"/>
        </w:rPr>
        <w:t>Longer Sentences</w:t>
      </w:r>
      <w:r>
        <w:t>: There has been a shift in sentencing practices, with courts imposing longer sentences, particularly for serious offences such as sexual violence and domestic abuse.</w:t>
      </w:r>
    </w:p>
    <w:p w14:paraId="27A11796" w14:textId="207883DD" w:rsidR="00046164" w:rsidRDefault="00046164" w:rsidP="001223CA">
      <w:pPr>
        <w:numPr>
          <w:ilvl w:val="0"/>
          <w:numId w:val="16"/>
        </w:numPr>
        <w:spacing w:before="100" w:beforeAutospacing="1" w:after="100" w:afterAutospacing="1" w:line="240" w:lineRule="auto"/>
      </w:pPr>
      <w:r>
        <w:rPr>
          <w:rStyle w:val="Strong"/>
        </w:rPr>
        <w:t>Increased Reporting and Detection</w:t>
      </w:r>
      <w:r>
        <w:t>: Improvements in victim confidence and police investigation methods have led to an increase in reported and detected serious crimes.</w:t>
      </w:r>
      <w:r w:rsidR="00687BB4">
        <w:rPr>
          <w:rStyle w:val="FootnoteReference"/>
        </w:rPr>
        <w:footnoteReference w:id="5"/>
      </w:r>
    </w:p>
    <w:p w14:paraId="6A12951B" w14:textId="77777777" w:rsidR="00046164" w:rsidRDefault="00046164" w:rsidP="001223CA">
      <w:pPr>
        <w:numPr>
          <w:ilvl w:val="0"/>
          <w:numId w:val="16"/>
        </w:numPr>
        <w:spacing w:before="100" w:beforeAutospacing="1" w:after="100" w:afterAutospacing="1" w:line="240" w:lineRule="auto"/>
      </w:pPr>
      <w:r>
        <w:rPr>
          <w:rStyle w:val="Strong"/>
        </w:rPr>
        <w:t>Longer Periods on Remand</w:t>
      </w:r>
      <w:r>
        <w:t xml:space="preserve">: More individuals are spending extended periods in custody while awaiting trial or sentencing. Some of this delay stems from </w:t>
      </w:r>
      <w:r>
        <w:lastRenderedPageBreak/>
        <w:t>backlogs linked to the COVID-19 pandemic, while other long-term systemic issues also contribute.</w:t>
      </w:r>
    </w:p>
    <w:p w14:paraId="65EF0ED0" w14:textId="3C01B42A" w:rsidR="00046164" w:rsidRDefault="00046164" w:rsidP="001223CA">
      <w:pPr>
        <w:numPr>
          <w:ilvl w:val="0"/>
          <w:numId w:val="16"/>
        </w:numPr>
        <w:spacing w:before="100" w:beforeAutospacing="1" w:after="100" w:afterAutospacing="1" w:line="240" w:lineRule="auto"/>
      </w:pPr>
      <w:r>
        <w:rPr>
          <w:rStyle w:val="Strong"/>
        </w:rPr>
        <w:t>Policy Changes</w:t>
      </w:r>
      <w:r>
        <w:t>: Reforms such as the 2016 abolition of automatic early release have impacted the long-term prison population, leading to fewer prisoners being released early.</w:t>
      </w:r>
      <w:r w:rsidR="008F7C9E">
        <w:rPr>
          <w:rStyle w:val="FootnoteReference"/>
        </w:rPr>
        <w:footnoteReference w:id="6"/>
      </w:r>
    </w:p>
    <w:p w14:paraId="2A0693F5" w14:textId="00E4F33A" w:rsidR="00947C86" w:rsidRDefault="00B95358" w:rsidP="001223CA">
      <w:pPr>
        <w:numPr>
          <w:ilvl w:val="0"/>
          <w:numId w:val="16"/>
        </w:numPr>
        <w:spacing w:before="100" w:beforeAutospacing="1" w:after="100" w:afterAutospacing="1" w:line="240" w:lineRule="auto"/>
      </w:pPr>
      <w:r w:rsidRPr="00B95358">
        <w:rPr>
          <w:b/>
          <w:bCs/>
          <w:color w:val="auto"/>
        </w:rPr>
        <w:t>Progression:</w:t>
      </w:r>
      <w:r>
        <w:rPr>
          <w:color w:val="auto"/>
        </w:rPr>
        <w:t xml:space="preserve"> </w:t>
      </w:r>
      <w:r w:rsidR="00DD4483" w:rsidRPr="00623EE6">
        <w:rPr>
          <w:color w:val="auto"/>
        </w:rPr>
        <w:t xml:space="preserve">There are also longstanding issues hampering timeliness in </w:t>
      </w:r>
      <w:r w:rsidR="00DD4483">
        <w:rPr>
          <w:color w:val="auto"/>
        </w:rPr>
        <w:t>progression for</w:t>
      </w:r>
      <w:r w:rsidR="00DD4483" w:rsidRPr="00623EE6">
        <w:rPr>
          <w:color w:val="auto"/>
        </w:rPr>
        <w:t xml:space="preserve"> long-term prisoners towards safe release</w:t>
      </w:r>
      <w:r w:rsidR="00DD4483" w:rsidRPr="00623EE6">
        <w:rPr>
          <w:rStyle w:val="FootnoteReference"/>
          <w:color w:val="auto"/>
        </w:rPr>
        <w:footnoteReference w:id="7"/>
      </w:r>
      <w:r w:rsidR="00DD4483" w:rsidRPr="00623EE6">
        <w:rPr>
          <w:color w:val="auto"/>
        </w:rPr>
        <w:t xml:space="preserve">. </w:t>
      </w:r>
    </w:p>
    <w:p w14:paraId="1F1831E2" w14:textId="54B0927E" w:rsidR="00046164" w:rsidRDefault="00046164" w:rsidP="00046164">
      <w:pPr>
        <w:spacing w:before="100" w:beforeAutospacing="1" w:after="100" w:afterAutospacing="1"/>
      </w:pPr>
      <w:r>
        <w:t>Despite overall crime rates continuing to decline since the 1990s</w:t>
      </w:r>
      <w:r w:rsidR="000917F9">
        <w:rPr>
          <w:rStyle w:val="FootnoteReference"/>
        </w:rPr>
        <w:footnoteReference w:id="8"/>
      </w:r>
      <w:r>
        <w:t>, the number of people in prison continues to grow, creating ongoing challenges for government agencies, justice services, and communities.</w:t>
      </w:r>
    </w:p>
    <w:p w14:paraId="7E3E694A" w14:textId="77777777" w:rsidR="00046164" w:rsidRDefault="00046164" w:rsidP="00046164">
      <w:pPr>
        <w:pStyle w:val="Heading3"/>
        <w:rPr>
          <w:rFonts w:eastAsia="Times New Roman"/>
        </w:rPr>
      </w:pPr>
      <w:r>
        <w:rPr>
          <w:rStyle w:val="Strong"/>
          <w:b/>
          <w:bCs/>
        </w:rPr>
        <w:t>Policy and Legislative Responses</w:t>
      </w:r>
    </w:p>
    <w:p w14:paraId="3B5A32F2" w14:textId="77777777" w:rsidR="00046164" w:rsidRDefault="00046164" w:rsidP="00046164">
      <w:pPr>
        <w:spacing w:before="100" w:beforeAutospacing="1" w:after="100" w:afterAutospacing="1"/>
      </w:pPr>
      <w:r>
        <w:t>In response to these challenges, the </w:t>
      </w:r>
      <w:r>
        <w:rPr>
          <w:rStyle w:val="Strong"/>
        </w:rPr>
        <w:t>Bail and Release from Custody (Scotland) Act 2023</w:t>
      </w:r>
      <w:r>
        <w:t> was passed in June 2023. From </w:t>
      </w:r>
      <w:r>
        <w:rPr>
          <w:rStyle w:val="Strong"/>
        </w:rPr>
        <w:t>May 2025</w:t>
      </w:r>
      <w:r>
        <w:t>, a new bail test will take effect, aiming to ensure that remand is used only when necessary for public safety or to protect the integrity of the justice process.</w:t>
      </w:r>
    </w:p>
    <w:p w14:paraId="0E613985" w14:textId="77777777" w:rsidR="00046164" w:rsidRDefault="00046164" w:rsidP="00046164">
      <w:pPr>
        <w:spacing w:before="100" w:beforeAutospacing="1" w:after="100" w:afterAutospacing="1"/>
      </w:pPr>
      <w:r>
        <w:t>Additionally, the </w:t>
      </w:r>
      <w:r>
        <w:rPr>
          <w:rStyle w:val="Strong"/>
        </w:rPr>
        <w:t>Sentencing and Penal Policy Commission</w:t>
      </w:r>
      <w:r>
        <w:t> has been established to review the balance between imprisonment and community-based interventions. Its recommendations will focus on making the justice system more effective and proportionate, with the ultimate goal of reducing crime, supporting victims, and fostering safer communities.</w:t>
      </w:r>
    </w:p>
    <w:p w14:paraId="42E8615B" w14:textId="77777777" w:rsidR="00046164" w:rsidRDefault="00046164" w:rsidP="00046164">
      <w:pPr>
        <w:spacing w:before="100" w:beforeAutospacing="1" w:after="100" w:afterAutospacing="1"/>
      </w:pPr>
      <w:r>
        <w:t>This report provides insight into how national strategies and local community justice partnerships are working to address these challenges, highlighting both achievements and areas for further progress.</w:t>
      </w:r>
    </w:p>
    <w:p w14:paraId="2FE53F86" w14:textId="77777777" w:rsidR="00A66F91" w:rsidRDefault="00A66F91" w:rsidP="00CA3269">
      <w:pPr>
        <w:rPr>
          <w:b/>
          <w:bCs/>
        </w:rPr>
      </w:pPr>
    </w:p>
    <w:p w14:paraId="3EAF5FB1" w14:textId="77777777" w:rsidR="00A66F91" w:rsidRDefault="00A66F91" w:rsidP="00CA3269">
      <w:pPr>
        <w:rPr>
          <w:b/>
          <w:bCs/>
        </w:rPr>
      </w:pPr>
    </w:p>
    <w:p w14:paraId="66EEB172" w14:textId="77777777" w:rsidR="00A66F91" w:rsidRDefault="00A66F91" w:rsidP="00CA3269">
      <w:pPr>
        <w:rPr>
          <w:b/>
          <w:bCs/>
        </w:rPr>
      </w:pPr>
    </w:p>
    <w:p w14:paraId="086F1199" w14:textId="77777777" w:rsidR="00A66F91" w:rsidRDefault="00A66F91" w:rsidP="00CA3269">
      <w:pPr>
        <w:rPr>
          <w:b/>
          <w:bCs/>
        </w:rPr>
      </w:pPr>
    </w:p>
    <w:p w14:paraId="4BCEEEA6" w14:textId="77777777" w:rsidR="00D36C67" w:rsidRPr="00623EE6" w:rsidRDefault="00D36C67">
      <w:pPr>
        <w:spacing w:line="240" w:lineRule="auto"/>
        <w:rPr>
          <w:color w:val="auto"/>
          <w:lang w:eastAsia="en-GB"/>
        </w:rPr>
      </w:pPr>
      <w:r w:rsidRPr="00623EE6">
        <w:rPr>
          <w:color w:val="auto"/>
          <w:lang w:eastAsia="en-GB"/>
        </w:rPr>
        <w:br w:type="page"/>
      </w:r>
    </w:p>
    <w:p w14:paraId="2D031002" w14:textId="7CA631DA" w:rsidR="00252A9C" w:rsidRPr="00623EE6" w:rsidRDefault="00CA3269" w:rsidP="00B456C1">
      <w:pPr>
        <w:pStyle w:val="Heading1"/>
      </w:pPr>
      <w:bookmarkStart w:id="5" w:name="_Toc193901783"/>
      <w:r w:rsidRPr="00623EE6">
        <w:lastRenderedPageBreak/>
        <w:t>High</w:t>
      </w:r>
      <w:r w:rsidR="00FD7344" w:rsidRPr="00623EE6">
        <w:t>-level</w:t>
      </w:r>
      <w:r w:rsidRPr="00623EE6">
        <w:t xml:space="preserve"> </w:t>
      </w:r>
      <w:r w:rsidR="00B64201" w:rsidRPr="00623EE6">
        <w:t>p</w:t>
      </w:r>
      <w:r w:rsidRPr="00623EE6">
        <w:t>erformance</w:t>
      </w:r>
      <w:bookmarkEnd w:id="5"/>
    </w:p>
    <w:p w14:paraId="67EC42D3" w14:textId="59F06A51" w:rsidR="00423DF9" w:rsidRPr="00623EE6" w:rsidRDefault="00C67EC7" w:rsidP="00C67EC7">
      <w:pPr>
        <w:rPr>
          <w:rStyle w:val="Hyperlink"/>
          <w:color w:val="auto"/>
          <w:u w:val="none"/>
          <w:lang w:eastAsia="en-GB"/>
        </w:rPr>
      </w:pPr>
      <w:r w:rsidRPr="00623EE6">
        <w:rPr>
          <w:color w:val="auto"/>
          <w:lang w:eastAsia="en-GB"/>
        </w:rPr>
        <w:t xml:space="preserve">The </w:t>
      </w:r>
      <w:hyperlink r:id="rId24" w:history="1">
        <w:r w:rsidR="00D90DF0" w:rsidRPr="00623EE6">
          <w:rPr>
            <w:rStyle w:val="Hyperlink"/>
            <w:lang w:eastAsia="en-GB"/>
          </w:rPr>
          <w:t>Community Justice Performance Framework</w:t>
        </w:r>
      </w:hyperlink>
      <w:r w:rsidRPr="00623EE6">
        <w:rPr>
          <w:color w:val="auto"/>
          <w:lang w:eastAsia="en-GB"/>
        </w:rPr>
        <w:t xml:space="preserve"> has a </w:t>
      </w:r>
      <w:hyperlink r:id="rId25" w:history="1">
        <w:r w:rsidRPr="00623EE6">
          <w:rPr>
            <w:rStyle w:val="Hyperlink"/>
            <w:color w:val="auto"/>
            <w:u w:val="none"/>
            <w:lang w:eastAsia="en-GB"/>
          </w:rPr>
          <w:t>high-level indicator</w:t>
        </w:r>
      </w:hyperlink>
      <w:r w:rsidR="00423DF9" w:rsidRPr="00623EE6">
        <w:t>: percentage of custody disposals compared to other disposal groups</w:t>
      </w:r>
      <w:r w:rsidR="00965015">
        <w:rPr>
          <w:rStyle w:val="FootnoteReference"/>
        </w:rPr>
        <w:footnoteReference w:id="9"/>
      </w:r>
      <w:r w:rsidR="00423DF9" w:rsidRPr="00623EE6">
        <w:t>.</w:t>
      </w:r>
      <w:r w:rsidRPr="00623EE6">
        <w:rPr>
          <w:rStyle w:val="Hyperlink"/>
          <w:color w:val="auto"/>
          <w:u w:val="none"/>
          <w:lang w:eastAsia="en-GB"/>
        </w:rPr>
        <w:t xml:space="preserve"> </w:t>
      </w:r>
    </w:p>
    <w:p w14:paraId="6893F700" w14:textId="7508922D" w:rsidR="00423DF9" w:rsidRPr="00623EE6" w:rsidRDefault="00423DF9" w:rsidP="00423DF9">
      <w:pPr>
        <w:rPr>
          <w:color w:val="auto"/>
          <w:lang w:eastAsia="en-GB"/>
        </w:rPr>
      </w:pPr>
      <w:r w:rsidRPr="00623EE6">
        <w:rPr>
          <w:rStyle w:val="Hyperlink"/>
          <w:color w:val="auto"/>
          <w:u w:val="none"/>
          <w:lang w:eastAsia="en-GB"/>
        </w:rPr>
        <w:t xml:space="preserve">The technical guidance set out by Scottish Government highlights the following in regard to this indicator: </w:t>
      </w:r>
      <w:r w:rsidR="00965015">
        <w:rPr>
          <w:rStyle w:val="Hyperlink"/>
          <w:color w:val="auto"/>
          <w:u w:val="none"/>
          <w:lang w:eastAsia="en-GB"/>
        </w:rPr>
        <w:t>“</w:t>
      </w:r>
      <w:r w:rsidR="00C67EC7" w:rsidRPr="00623EE6">
        <w:rPr>
          <w:color w:val="auto"/>
          <w:lang w:eastAsia="en-GB"/>
        </w:rPr>
        <w:t>Movement of data should be considered every year and an awareness of what is happening in other disposal groups should be considered when reviewing this against other evidence.</w:t>
      </w:r>
      <w:r w:rsidRPr="00623EE6">
        <w:rPr>
          <w:color w:val="auto"/>
          <w:lang w:eastAsia="en-GB"/>
        </w:rPr>
        <w:t>”</w:t>
      </w:r>
    </w:p>
    <w:p w14:paraId="2E183C5F" w14:textId="1FE7D133" w:rsidR="00C67EC7" w:rsidRPr="00623EE6" w:rsidRDefault="00423DF9" w:rsidP="00C67EC7">
      <w:pPr>
        <w:rPr>
          <w:color w:val="auto"/>
          <w:lang w:eastAsia="en-GB"/>
        </w:rPr>
      </w:pPr>
      <w:r w:rsidRPr="00623EE6">
        <w:rPr>
          <w:color w:val="auto"/>
          <w:lang w:eastAsia="en-GB"/>
        </w:rPr>
        <w:t xml:space="preserve">The data provided is split into four disposal groupings: custody, community, monetary and ‘other’. </w:t>
      </w:r>
    </w:p>
    <w:p w14:paraId="08B98D53" w14:textId="5F563B8E" w:rsidR="00A32B00" w:rsidRPr="00623EE6" w:rsidRDefault="009526F4" w:rsidP="009526F4">
      <w:pPr>
        <w:rPr>
          <w:color w:val="auto"/>
          <w:lang w:eastAsia="en-GB"/>
        </w:rPr>
      </w:pPr>
      <w:r w:rsidRPr="00623EE6">
        <w:rPr>
          <w:color w:val="auto"/>
          <w:lang w:eastAsia="en-GB"/>
        </w:rPr>
        <w:t xml:space="preserve">The </w:t>
      </w:r>
      <w:r w:rsidR="009B0209" w:rsidRPr="00623EE6">
        <w:rPr>
          <w:color w:val="auto"/>
          <w:lang w:eastAsia="en-GB"/>
        </w:rPr>
        <w:t>figure</w:t>
      </w:r>
      <w:r w:rsidRPr="00623EE6">
        <w:rPr>
          <w:color w:val="auto"/>
          <w:lang w:eastAsia="en-GB"/>
        </w:rPr>
        <w:t xml:space="preserve"> below set</w:t>
      </w:r>
      <w:r w:rsidR="009B0209" w:rsidRPr="00623EE6">
        <w:rPr>
          <w:color w:val="auto"/>
          <w:lang w:eastAsia="en-GB"/>
        </w:rPr>
        <w:t>s</w:t>
      </w:r>
      <w:r w:rsidRPr="00623EE6">
        <w:rPr>
          <w:color w:val="auto"/>
          <w:lang w:eastAsia="en-GB"/>
        </w:rPr>
        <w:t xml:space="preserve"> out the available data relating to </w:t>
      </w:r>
      <w:r w:rsidR="00423DF9" w:rsidRPr="00623EE6">
        <w:rPr>
          <w:color w:val="auto"/>
          <w:lang w:eastAsia="en-GB"/>
        </w:rPr>
        <w:t>this indicator</w:t>
      </w:r>
      <w:r w:rsidR="003C1F48" w:rsidRPr="00623EE6">
        <w:rPr>
          <w:color w:val="auto"/>
          <w:lang w:eastAsia="en-GB"/>
        </w:rPr>
        <w:t>.</w:t>
      </w:r>
      <w:r w:rsidR="00570B23">
        <w:rPr>
          <w:color w:val="auto"/>
          <w:lang w:eastAsia="en-GB"/>
        </w:rPr>
        <w:t xml:space="preserve"> </w:t>
      </w:r>
    </w:p>
    <w:p w14:paraId="365C61B9" w14:textId="04B057FD" w:rsidR="005E75BA" w:rsidRPr="00623EE6" w:rsidRDefault="005E75BA" w:rsidP="009526F4">
      <w:pPr>
        <w:rPr>
          <w:color w:val="auto"/>
          <w:lang w:eastAsia="en-GB"/>
        </w:rPr>
      </w:pPr>
      <w:r w:rsidRPr="00623EE6">
        <w:rPr>
          <w:noProof/>
        </w:rPr>
        <w:drawing>
          <wp:inline distT="0" distB="0" distL="0" distR="0" wp14:anchorId="0FAE18D8" wp14:editId="2E034BBC">
            <wp:extent cx="5731510" cy="3259455"/>
            <wp:effectExtent l="0" t="0" r="2540" b="17145"/>
            <wp:docPr id="2101942161" name="Chart 1" descr="Graph of high level indicator">
              <a:extLst xmlns:a="http://schemas.openxmlformats.org/drawingml/2006/main">
                <a:ext uri="{FF2B5EF4-FFF2-40B4-BE49-F238E27FC236}">
                  <a16:creationId xmlns:a16="http://schemas.microsoft.com/office/drawing/2014/main" id="{49F135A9-8754-7D30-4B0D-1206A8C5F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043008" w14:textId="77777777" w:rsidR="00950835" w:rsidRDefault="00950835" w:rsidP="00950835">
      <w:pPr>
        <w:pStyle w:val="Heading3"/>
        <w:rPr>
          <w:rFonts w:ascii="Aptos" w:hAnsi="Aptos" w:cs="Aptos"/>
          <w:color w:val="auto"/>
          <w:szCs w:val="27"/>
        </w:rPr>
      </w:pPr>
      <w:bookmarkStart w:id="6" w:name="_Hlk189207193"/>
      <w:r>
        <w:rPr>
          <w:rStyle w:val="Strong"/>
          <w:b/>
          <w:bCs/>
        </w:rPr>
        <w:t>Strengthening Community Justice: Progress and Challenges</w:t>
      </w:r>
    </w:p>
    <w:p w14:paraId="5AB36A76" w14:textId="77777777" w:rsidR="00950835" w:rsidRDefault="00950835" w:rsidP="00950835">
      <w:pPr>
        <w:spacing w:before="100" w:beforeAutospacing="1" w:after="100" w:afterAutospacing="1"/>
      </w:pPr>
      <w:r>
        <w:t>Scotland's vision for justice emphasises </w:t>
      </w:r>
      <w:r>
        <w:rPr>
          <w:rStyle w:val="Strong"/>
        </w:rPr>
        <w:t>‘shifting the balance’</w:t>
      </w:r>
      <w:r>
        <w:t> away from short-term imprisonment toward community-based solutions. This report details how community justice services have contributed to this goal in 2023–2024, while also highlighting ongoing challenges.</w:t>
      </w:r>
    </w:p>
    <w:p w14:paraId="30081C9E" w14:textId="77777777" w:rsidR="00950835" w:rsidRPr="00576AE6" w:rsidRDefault="00950835" w:rsidP="00950835">
      <w:pPr>
        <w:pStyle w:val="Heading4"/>
        <w:rPr>
          <w:rFonts w:eastAsia="Times New Roman"/>
          <w:b/>
          <w:bCs/>
          <w:i w:val="0"/>
          <w:iCs w:val="0"/>
          <w:sz w:val="28"/>
          <w:szCs w:val="28"/>
        </w:rPr>
      </w:pPr>
      <w:r w:rsidRPr="00576AE6">
        <w:rPr>
          <w:rStyle w:val="Strong"/>
          <w:rFonts w:eastAsia="Times New Roman"/>
          <w:i w:val="0"/>
          <w:iCs w:val="0"/>
          <w:sz w:val="28"/>
          <w:szCs w:val="28"/>
        </w:rPr>
        <w:lastRenderedPageBreak/>
        <w:t>Reducing Short-Term Sentences and Strengthening Community Alternatives</w:t>
      </w:r>
    </w:p>
    <w:p w14:paraId="423E9484" w14:textId="41AD37CD" w:rsidR="00950835" w:rsidRDefault="00950835" w:rsidP="00950835">
      <w:pPr>
        <w:spacing w:before="100" w:beforeAutospacing="1" w:after="100" w:afterAutospacing="1"/>
      </w:pPr>
      <w:r>
        <w:t>Community Payback Orders (CPOs) remain a vital part of Scotland’s justice system. In 2023–24, </w:t>
      </w:r>
      <w:r>
        <w:rPr>
          <w:rStyle w:val="Strong"/>
        </w:rPr>
        <w:t>15,086 CPOs</w:t>
      </w:r>
      <w:r>
        <w:t> were issued—</w:t>
      </w:r>
      <w:r>
        <w:rPr>
          <w:rStyle w:val="Strong"/>
        </w:rPr>
        <w:t>a increase</w:t>
      </w:r>
      <w:r w:rsidR="004C7A33">
        <w:rPr>
          <w:rStyle w:val="Strong"/>
        </w:rPr>
        <w:t xml:space="preserve"> of 404</w:t>
      </w:r>
      <w:r>
        <w:t> from the previous year.</w:t>
      </w:r>
      <w:r w:rsidR="002A423B">
        <w:rPr>
          <w:rStyle w:val="FootnoteReference"/>
        </w:rPr>
        <w:footnoteReference w:id="10"/>
      </w:r>
      <w:r>
        <w:t xml:space="preserve"> Since the introduction of the </w:t>
      </w:r>
      <w:r>
        <w:rPr>
          <w:rStyle w:val="Strong"/>
        </w:rPr>
        <w:t>Community Justice (Scotland) Act 2016</w:t>
      </w:r>
      <w:r>
        <w:t>, the short-term prison population has declined significantly. While there has been a post-pandemic rise in short-term sentences, their use remains well below pre-pandemic levels.</w:t>
      </w:r>
    </w:p>
    <w:p w14:paraId="75D471DA" w14:textId="090D01AD" w:rsidR="00950835" w:rsidRDefault="00950835" w:rsidP="00950835">
      <w:pPr>
        <w:spacing w:before="100" w:beforeAutospacing="1" w:after="100" w:afterAutospacing="1"/>
      </w:pPr>
      <w:r>
        <w:t>The number of people entering prison for sentences of </w:t>
      </w:r>
      <w:r>
        <w:rPr>
          <w:rStyle w:val="Strong"/>
        </w:rPr>
        <w:t>12 months or less</w:t>
      </w:r>
      <w:r>
        <w:t> fell by </w:t>
      </w:r>
      <w:r>
        <w:rPr>
          <w:rStyle w:val="Strong"/>
        </w:rPr>
        <w:t>55% between 2017–18 and 2023–24</w:t>
      </w:r>
      <w:r w:rsidR="00A708AB">
        <w:rPr>
          <w:rStyle w:val="FootnoteReference"/>
          <w:b/>
          <w:bCs/>
        </w:rPr>
        <w:footnoteReference w:id="11"/>
      </w:r>
      <w:r>
        <w:t>. However, further reductions will require </w:t>
      </w:r>
      <w:r>
        <w:rPr>
          <w:rStyle w:val="Strong"/>
        </w:rPr>
        <w:t>substantial investment</w:t>
      </w:r>
      <w:r>
        <w:t> in community justice resources. Currently, funding remains </w:t>
      </w:r>
      <w:r>
        <w:rPr>
          <w:rStyle w:val="Strong"/>
        </w:rPr>
        <w:t>insufficient and unstable</w:t>
      </w:r>
      <w:r>
        <w:t>, limiting effective long-term service planning.</w:t>
      </w:r>
    </w:p>
    <w:p w14:paraId="7220B998" w14:textId="77777777" w:rsidR="00950835" w:rsidRDefault="00950835" w:rsidP="00950835">
      <w:pPr>
        <w:spacing w:before="100" w:beforeAutospacing="1" w:after="100" w:afterAutospacing="1"/>
      </w:pPr>
      <w:r>
        <w:t>At the same time, community justice services are dealing with </w:t>
      </w:r>
      <w:r>
        <w:rPr>
          <w:rStyle w:val="Strong"/>
        </w:rPr>
        <w:t>increasingly complex cases</w:t>
      </w:r>
      <w:r>
        <w:t>, longer unpaid work hours and additional supervision. This underscores the need to evaluate success not just by </w:t>
      </w:r>
      <w:r w:rsidRPr="00576AE6">
        <w:rPr>
          <w:rStyle w:val="Strong"/>
          <w:b w:val="0"/>
          <w:bCs w:val="0"/>
        </w:rPr>
        <w:t>the number of CPOs issued</w:t>
      </w:r>
      <w:r w:rsidRPr="00576AE6">
        <w:rPr>
          <w:b/>
        </w:rPr>
        <w:t> but by </w:t>
      </w:r>
      <w:r w:rsidRPr="00576AE6">
        <w:rPr>
          <w:rStyle w:val="Strong"/>
          <w:b w:val="0"/>
          <w:bCs w:val="0"/>
        </w:rPr>
        <w:t>the quality of support provided and the long-term impact on rehabilitation</w:t>
      </w:r>
      <w:r>
        <w:t>.</w:t>
      </w:r>
    </w:p>
    <w:p w14:paraId="6C7CF0BB" w14:textId="77777777" w:rsidR="00950835" w:rsidRPr="00576AE6" w:rsidRDefault="00950835" w:rsidP="00950835">
      <w:pPr>
        <w:pStyle w:val="Heading4"/>
        <w:rPr>
          <w:rFonts w:eastAsia="Times New Roman"/>
          <w:b/>
          <w:bCs/>
          <w:i w:val="0"/>
          <w:iCs w:val="0"/>
          <w:sz w:val="28"/>
          <w:szCs w:val="28"/>
        </w:rPr>
      </w:pPr>
      <w:r w:rsidRPr="00576AE6">
        <w:rPr>
          <w:rStyle w:val="Strong"/>
          <w:rFonts w:eastAsia="Times New Roman"/>
          <w:i w:val="0"/>
          <w:iCs w:val="0"/>
          <w:sz w:val="28"/>
          <w:szCs w:val="28"/>
        </w:rPr>
        <w:t>Reducing Remand Through Community-Based Solutions</w:t>
      </w:r>
    </w:p>
    <w:p w14:paraId="102C2129" w14:textId="7B24661B" w:rsidR="00950835" w:rsidRDefault="00950835" w:rsidP="00950835">
      <w:pPr>
        <w:spacing w:before="100" w:beforeAutospacing="1" w:after="100" w:afterAutospacing="1"/>
      </w:pPr>
      <w:r>
        <w:t>Scotland continues to rely heavily on remand, with many individuals imprisoned before trial or sentencing. In 2023–24, </w:t>
      </w:r>
      <w:r>
        <w:rPr>
          <w:rStyle w:val="Strong"/>
        </w:rPr>
        <w:t>7,351 people were placed on remand</w:t>
      </w:r>
      <w:r>
        <w:t>, compared to </w:t>
      </w:r>
      <w:r>
        <w:rPr>
          <w:rStyle w:val="Strong"/>
        </w:rPr>
        <w:t>only 2,172 sentenced prisoners</w:t>
      </w:r>
      <w:r>
        <w:t>.</w:t>
      </w:r>
      <w:r w:rsidR="002324E4">
        <w:rPr>
          <w:rStyle w:val="FootnoteReference"/>
        </w:rPr>
        <w:footnoteReference w:id="12"/>
      </w:r>
      <w:r>
        <w:t xml:space="preserve"> This overuse of remand </w:t>
      </w:r>
      <w:r>
        <w:rPr>
          <w:rStyle w:val="Strong"/>
        </w:rPr>
        <w:t>misses key opportunities</w:t>
      </w:r>
      <w:r>
        <w:t> for a more effective, community-based approach.</w:t>
      </w:r>
    </w:p>
    <w:p w14:paraId="0800D2AD" w14:textId="13B80CCA" w:rsidR="00950835" w:rsidRDefault="00950835" w:rsidP="00950835">
      <w:pPr>
        <w:spacing w:before="100" w:beforeAutospacing="1" w:after="100" w:afterAutospacing="1"/>
      </w:pPr>
      <w:r>
        <w:t>Supporting individuals in the community while they await trial allows them to maintain essential responsibilities—such as employment, education, and caring for dependents—while also engaging with support services. </w:t>
      </w:r>
      <w:r>
        <w:rPr>
          <w:rStyle w:val="Strong"/>
        </w:rPr>
        <w:t>Electronic monitoring</w:t>
      </w:r>
      <w:r w:rsidR="00360CEA">
        <w:rPr>
          <w:rStyle w:val="Strong"/>
        </w:rPr>
        <w:t xml:space="preserve"> </w:t>
      </w:r>
      <w:r>
        <w:t>(tagging) can be used to enforce bail conditions, ensuring compliance while avoiding unnecessary imprisonment.</w:t>
      </w:r>
    </w:p>
    <w:p w14:paraId="229EF3D7" w14:textId="77777777" w:rsidR="00950835" w:rsidRDefault="00950835" w:rsidP="00950835">
      <w:pPr>
        <w:spacing w:before="100" w:beforeAutospacing="1" w:after="100" w:afterAutospacing="1"/>
      </w:pPr>
      <w:r>
        <w:t>Community justice services have </w:t>
      </w:r>
      <w:r>
        <w:rPr>
          <w:rStyle w:val="Strong"/>
        </w:rPr>
        <w:t>expanded bail supervision and support services</w:t>
      </w:r>
      <w:r>
        <w:t>, contributing to a </w:t>
      </w:r>
      <w:r>
        <w:rPr>
          <w:rStyle w:val="Strong"/>
        </w:rPr>
        <w:t>16% reduction in remand arrivals since 2017–18</w:t>
      </w:r>
      <w:r>
        <w:t>. However, the overall remand population has </w:t>
      </w:r>
      <w:r>
        <w:rPr>
          <w:rStyle w:val="Strong"/>
        </w:rPr>
        <w:t>increased by 43%</w:t>
      </w:r>
      <w:r>
        <w:t xml:space="preserve"> due to longer periods spent in </w:t>
      </w:r>
      <w:r>
        <w:lastRenderedPageBreak/>
        <w:t>custody. Addressing this issue requires continued investment in </w:t>
      </w:r>
      <w:r>
        <w:rPr>
          <w:rStyle w:val="Strong"/>
        </w:rPr>
        <w:t>bail support, electronic monitoring, and alternative sentencing options</w:t>
      </w:r>
      <w:r>
        <w:t>.</w:t>
      </w:r>
    </w:p>
    <w:p w14:paraId="46FD5366" w14:textId="77777777" w:rsidR="00950835" w:rsidRPr="00576AE6" w:rsidRDefault="00950835" w:rsidP="00950835">
      <w:pPr>
        <w:pStyle w:val="Heading4"/>
        <w:rPr>
          <w:rFonts w:eastAsia="Times New Roman"/>
          <w:b/>
          <w:bCs/>
          <w:i w:val="0"/>
          <w:iCs w:val="0"/>
          <w:sz w:val="28"/>
          <w:szCs w:val="28"/>
        </w:rPr>
      </w:pPr>
      <w:r w:rsidRPr="00576AE6">
        <w:rPr>
          <w:rStyle w:val="Strong"/>
          <w:rFonts w:eastAsia="Times New Roman"/>
          <w:i w:val="0"/>
          <w:iCs w:val="0"/>
          <w:sz w:val="28"/>
          <w:szCs w:val="28"/>
        </w:rPr>
        <w:t>Effectiveness of Community Sentences</w:t>
      </w:r>
    </w:p>
    <w:p w14:paraId="7F755727" w14:textId="18EF966E" w:rsidR="00950835" w:rsidRDefault="00950835" w:rsidP="00950835">
      <w:pPr>
        <w:spacing w:before="100" w:beforeAutospacing="1" w:after="100" w:afterAutospacing="1"/>
      </w:pPr>
      <w:r>
        <w:t>Evidence consistently shows that community-based sentences are </w:t>
      </w:r>
      <w:r>
        <w:rPr>
          <w:rStyle w:val="Strong"/>
        </w:rPr>
        <w:t>more effective than short prison terms</w:t>
      </w:r>
      <w:r>
        <w:t> in reducing reoffending.</w:t>
      </w:r>
      <w:r w:rsidR="00713601">
        <w:rPr>
          <w:rStyle w:val="FootnoteReference"/>
        </w:rPr>
        <w:footnoteReference w:id="13"/>
      </w:r>
      <w:r>
        <w:t xml:space="preserve"> They enable individuals to address </w:t>
      </w:r>
      <w:r>
        <w:rPr>
          <w:rStyle w:val="Strong"/>
        </w:rPr>
        <w:t>root causes of offending</w:t>
      </w:r>
      <w:r>
        <w:t>, such as substance use, mental health issues, and behavioural challenges, while also making reparations to the community.</w:t>
      </w:r>
    </w:p>
    <w:p w14:paraId="539D70F9" w14:textId="7C1BBF5D" w:rsidR="00950835" w:rsidRDefault="00950835" w:rsidP="00950835">
      <w:pPr>
        <w:spacing w:before="100" w:beforeAutospacing="1" w:after="100" w:afterAutospacing="1"/>
      </w:pPr>
      <w:r>
        <w:t>Over the past decade, Scotland has benefited from </w:t>
      </w:r>
      <w:r>
        <w:rPr>
          <w:rStyle w:val="Strong"/>
        </w:rPr>
        <w:t>11.6 million hours of unpaid work</w:t>
      </w:r>
      <w:r>
        <w:t> carried out by individuals serving sentences in the community.</w:t>
      </w:r>
      <w:r w:rsidR="00EF0FF0">
        <w:rPr>
          <w:rStyle w:val="FootnoteReference"/>
        </w:rPr>
        <w:footnoteReference w:id="14"/>
      </w:r>
      <w:r>
        <w:t xml:space="preserve"> This demonstrates both the </w:t>
      </w:r>
      <w:r>
        <w:rPr>
          <w:rStyle w:val="Strong"/>
        </w:rPr>
        <w:t>rehabilitative value</w:t>
      </w:r>
      <w:r>
        <w:t> of community justice and its </w:t>
      </w:r>
      <w:r>
        <w:rPr>
          <w:rStyle w:val="Strong"/>
        </w:rPr>
        <w:t>tangible benefits to society</w:t>
      </w:r>
      <w:r>
        <w:t>.</w:t>
      </w:r>
    </w:p>
    <w:p w14:paraId="5A03D965" w14:textId="77777777" w:rsidR="00950835" w:rsidRDefault="00950835" w:rsidP="00950835">
      <w:pPr>
        <w:spacing w:before="100" w:beforeAutospacing="1" w:after="100" w:afterAutospacing="1"/>
      </w:pPr>
      <w:r>
        <w:t>To fully realise the </w:t>
      </w:r>
      <w:r>
        <w:rPr>
          <w:rStyle w:val="Strong"/>
        </w:rPr>
        <w:t>‘Community First’</w:t>
      </w:r>
      <w:r>
        <w:t> approach, the justice system must </w:t>
      </w:r>
      <w:r>
        <w:rPr>
          <w:rStyle w:val="Strong"/>
        </w:rPr>
        <w:t>prioritise keeping individuals in the community whenever it is safe to do so</w:t>
      </w:r>
      <w:r>
        <w:t>. This means </w:t>
      </w:r>
      <w:r>
        <w:rPr>
          <w:rStyle w:val="Strong"/>
        </w:rPr>
        <w:t>fewer people entering prison unnecessarily</w:t>
      </w:r>
      <w:r>
        <w:t> and ensuring effective support is available for those leaving custody.</w:t>
      </w:r>
    </w:p>
    <w:p w14:paraId="60B7E8D5" w14:textId="77777777" w:rsidR="00950835" w:rsidRPr="00576AE6" w:rsidRDefault="00950835" w:rsidP="00950835">
      <w:pPr>
        <w:pStyle w:val="Heading4"/>
        <w:rPr>
          <w:rFonts w:eastAsia="Times New Roman"/>
          <w:b/>
          <w:bCs/>
          <w:i w:val="0"/>
          <w:iCs w:val="0"/>
          <w:sz w:val="28"/>
          <w:szCs w:val="28"/>
        </w:rPr>
      </w:pPr>
      <w:r w:rsidRPr="00576AE6">
        <w:rPr>
          <w:rStyle w:val="Strong"/>
          <w:rFonts w:eastAsia="Times New Roman"/>
          <w:i w:val="0"/>
          <w:iCs w:val="0"/>
          <w:sz w:val="28"/>
          <w:szCs w:val="28"/>
        </w:rPr>
        <w:t>Judicial Confidence in Community-Based Options</w:t>
      </w:r>
    </w:p>
    <w:p w14:paraId="0A6C17DD" w14:textId="77777777" w:rsidR="00950835" w:rsidRDefault="00950835" w:rsidP="00950835">
      <w:pPr>
        <w:spacing w:before="100" w:beforeAutospacing="1" w:after="100" w:afterAutospacing="1"/>
      </w:pPr>
      <w:r>
        <w:t>For community justice to succeed, it must have the confidence of </w:t>
      </w:r>
      <w:r>
        <w:rPr>
          <w:rStyle w:val="Strong"/>
        </w:rPr>
        <w:t>judges, legal professionals, and the public</w:t>
      </w:r>
      <w:r>
        <w:t>. In June 2023, the </w:t>
      </w:r>
      <w:r>
        <w:rPr>
          <w:rStyle w:val="Strong"/>
        </w:rPr>
        <w:t>Scottish Sentencing Council</w:t>
      </w:r>
      <w:r>
        <w:t> reported that a </w:t>
      </w:r>
      <w:r>
        <w:rPr>
          <w:rStyle w:val="Strong"/>
        </w:rPr>
        <w:t>robust system of alternatives to custody</w:t>
      </w:r>
      <w:r>
        <w:t> is necessary to maintain judicial confidence. This requires:</w:t>
      </w:r>
    </w:p>
    <w:p w14:paraId="6FDC1CA6" w14:textId="77777777" w:rsidR="00950835" w:rsidRDefault="00950835" w:rsidP="001223CA">
      <w:pPr>
        <w:numPr>
          <w:ilvl w:val="0"/>
          <w:numId w:val="17"/>
        </w:numPr>
        <w:spacing w:before="100" w:beforeAutospacing="1" w:after="100" w:afterAutospacing="1" w:line="240" w:lineRule="auto"/>
      </w:pPr>
      <w:r>
        <w:rPr>
          <w:rStyle w:val="Strong"/>
        </w:rPr>
        <w:t>Adequate resourcing</w:t>
      </w:r>
      <w:r>
        <w:t> of community-based interventions</w:t>
      </w:r>
    </w:p>
    <w:p w14:paraId="6A440251" w14:textId="77777777" w:rsidR="00950835" w:rsidRDefault="00950835" w:rsidP="001223CA">
      <w:pPr>
        <w:numPr>
          <w:ilvl w:val="0"/>
          <w:numId w:val="17"/>
        </w:numPr>
        <w:spacing w:before="100" w:beforeAutospacing="1" w:after="100" w:afterAutospacing="1" w:line="240" w:lineRule="auto"/>
      </w:pPr>
      <w:r>
        <w:rPr>
          <w:rStyle w:val="Strong"/>
        </w:rPr>
        <w:t>A wider range of sentencing options</w:t>
      </w:r>
      <w:r>
        <w:t> that courts can trust</w:t>
      </w:r>
    </w:p>
    <w:p w14:paraId="4E19BA90" w14:textId="77777777" w:rsidR="00950835" w:rsidRDefault="00950835" w:rsidP="001223CA">
      <w:pPr>
        <w:numPr>
          <w:ilvl w:val="0"/>
          <w:numId w:val="17"/>
        </w:numPr>
        <w:spacing w:before="100" w:beforeAutospacing="1" w:after="100" w:afterAutospacing="1" w:line="240" w:lineRule="auto"/>
      </w:pPr>
      <w:r>
        <w:rPr>
          <w:rStyle w:val="Strong"/>
        </w:rPr>
        <w:t>Improved communication</w:t>
      </w:r>
      <w:r>
        <w:t> about the effectiveness of community justice</w:t>
      </w:r>
    </w:p>
    <w:p w14:paraId="4C16F7AF" w14:textId="77777777" w:rsidR="00950835" w:rsidRDefault="00950835" w:rsidP="00950835">
      <w:pPr>
        <w:spacing w:before="100" w:beforeAutospacing="1" w:after="100" w:afterAutospacing="1"/>
        <w:rPr>
          <w:color w:val="auto"/>
        </w:rPr>
      </w:pPr>
      <w:r>
        <w:rPr>
          <w:color w:val="auto"/>
        </w:rPr>
        <w:t xml:space="preserve">CJS developed </w:t>
      </w:r>
      <w:r w:rsidRPr="00623EE6">
        <w:rPr>
          <w:color w:val="auto"/>
        </w:rPr>
        <w:t xml:space="preserve">the </w:t>
      </w:r>
      <w:hyperlink r:id="rId27" w:history="1">
        <w:r w:rsidRPr="00623EE6">
          <w:rPr>
            <w:rStyle w:val="Hyperlink"/>
          </w:rPr>
          <w:t>Community Interventions and Support Directory</w:t>
        </w:r>
      </w:hyperlink>
      <w:r>
        <w:t xml:space="preserve"> which documents services available at local level, which indicates services at local level to help Sheriffs in sentencing</w:t>
      </w:r>
      <w:r w:rsidRPr="00623EE6">
        <w:rPr>
          <w:color w:val="auto"/>
        </w:rPr>
        <w:t>.</w:t>
      </w:r>
    </w:p>
    <w:p w14:paraId="2828D875" w14:textId="59806344" w:rsidR="00950835" w:rsidRDefault="00950835" w:rsidP="00950835">
      <w:pPr>
        <w:spacing w:before="100" w:beforeAutospacing="1" w:after="100" w:afterAutospacing="1"/>
      </w:pPr>
      <w:r>
        <w:t>Despite evidence supporting community sentencing, there remains a </w:t>
      </w:r>
      <w:r>
        <w:rPr>
          <w:rStyle w:val="Strong"/>
        </w:rPr>
        <w:t>gap between recommendations and actual sentencing outcomes</w:t>
      </w:r>
      <w:r>
        <w:t xml:space="preserve">. In 2023–24, justice social </w:t>
      </w:r>
      <w:r>
        <w:lastRenderedPageBreak/>
        <w:t>workers recommended custody in </w:t>
      </w:r>
      <w:r>
        <w:rPr>
          <w:rStyle w:val="Strong"/>
        </w:rPr>
        <w:t>only 7% of cases</w:t>
      </w:r>
      <w:r>
        <w:t>, yet </w:t>
      </w:r>
      <w:r>
        <w:rPr>
          <w:rStyle w:val="Strong"/>
        </w:rPr>
        <w:t>14% of cases resulted in imprisonment</w:t>
      </w:r>
      <w:r>
        <w:t>. Bridging this gap requires </w:t>
      </w:r>
      <w:r>
        <w:rPr>
          <w:rStyle w:val="Strong"/>
        </w:rPr>
        <w:t>enhanced awareness and confidence in community justice options</w:t>
      </w:r>
      <w:r>
        <w:t>.</w:t>
      </w:r>
      <w:r w:rsidR="003C43A2">
        <w:rPr>
          <w:rStyle w:val="FootnoteReference"/>
        </w:rPr>
        <w:footnoteReference w:id="15"/>
      </w:r>
      <w:r w:rsidRPr="00266E47">
        <w:rPr>
          <w:color w:val="auto"/>
        </w:rPr>
        <w:t xml:space="preserve"> </w:t>
      </w:r>
    </w:p>
    <w:p w14:paraId="4204B8DA" w14:textId="77777777" w:rsidR="00950835" w:rsidRPr="00576AE6" w:rsidRDefault="00950835" w:rsidP="00950835">
      <w:pPr>
        <w:pStyle w:val="Heading4"/>
        <w:rPr>
          <w:rFonts w:eastAsia="Times New Roman"/>
          <w:bCs/>
          <w:i w:val="0"/>
          <w:iCs w:val="0"/>
          <w:sz w:val="28"/>
          <w:szCs w:val="28"/>
        </w:rPr>
      </w:pPr>
      <w:r w:rsidRPr="00576AE6">
        <w:rPr>
          <w:rStyle w:val="Strong"/>
          <w:rFonts w:eastAsia="Times New Roman"/>
          <w:i w:val="0"/>
          <w:iCs w:val="0"/>
          <w:sz w:val="28"/>
          <w:szCs w:val="28"/>
        </w:rPr>
        <w:t>Tackling Domestic Abuse: The Caledonian System</w:t>
      </w:r>
    </w:p>
    <w:p w14:paraId="4A344D73" w14:textId="77777777" w:rsidR="00950835" w:rsidRDefault="00950835" w:rsidP="00950835">
      <w:pPr>
        <w:spacing w:before="100" w:beforeAutospacing="1" w:after="100" w:afterAutospacing="1"/>
      </w:pPr>
      <w:r>
        <w:t>Scotland’s only </w:t>
      </w:r>
      <w:r>
        <w:rPr>
          <w:rStyle w:val="Strong"/>
        </w:rPr>
        <w:t>accredited</w:t>
      </w:r>
      <w:r>
        <w:t> domestic abuse rehabilitation programme, the </w:t>
      </w:r>
      <w:r>
        <w:rPr>
          <w:rStyle w:val="Strong"/>
        </w:rPr>
        <w:t>Caledonian System</w:t>
      </w:r>
      <w:r>
        <w:t>, works with men to change abusive behaviour while supporting partners and children. Since 2020, its national team has been based within Community Justice Scotland (CJS), expanding its reach across local authorities.</w:t>
      </w:r>
    </w:p>
    <w:p w14:paraId="538C0ED7" w14:textId="77777777" w:rsidR="00950835" w:rsidRDefault="00950835" w:rsidP="00950835">
      <w:pPr>
        <w:spacing w:before="100" w:beforeAutospacing="1" w:after="100" w:afterAutospacing="1"/>
      </w:pPr>
      <w:r>
        <w:t>In 2023–24, CJS supported </w:t>
      </w:r>
      <w:r>
        <w:rPr>
          <w:rStyle w:val="Strong"/>
        </w:rPr>
        <w:t>Moray Council and Shetland Council</w:t>
      </w:r>
      <w:r>
        <w:t> in preparing for </w:t>
      </w:r>
      <w:r>
        <w:rPr>
          <w:rStyle w:val="Strong"/>
        </w:rPr>
        <w:t>new Caledonian System rollouts</w:t>
      </w:r>
      <w:r>
        <w:t> in early 2025. Caledonian will be available in 24 authorities. Tailored training and support for </w:t>
      </w:r>
      <w:r>
        <w:rPr>
          <w:rStyle w:val="Strong"/>
        </w:rPr>
        <w:t>island communities</w:t>
      </w:r>
      <w:r>
        <w:t> will enable more widespread implementation.</w:t>
      </w:r>
    </w:p>
    <w:p w14:paraId="3F2234AF" w14:textId="77777777" w:rsidR="00950835" w:rsidRPr="00576AE6" w:rsidRDefault="00950835" w:rsidP="00950835">
      <w:pPr>
        <w:pStyle w:val="Heading4"/>
        <w:rPr>
          <w:rFonts w:eastAsia="Times New Roman"/>
          <w:bCs/>
          <w:i w:val="0"/>
          <w:iCs w:val="0"/>
          <w:sz w:val="28"/>
          <w:szCs w:val="28"/>
        </w:rPr>
      </w:pPr>
      <w:r w:rsidRPr="00576AE6">
        <w:rPr>
          <w:rStyle w:val="Strong"/>
          <w:rFonts w:eastAsia="Times New Roman"/>
          <w:i w:val="0"/>
          <w:iCs w:val="0"/>
          <w:sz w:val="28"/>
          <w:szCs w:val="28"/>
        </w:rPr>
        <w:t>Improving Support for Individuals Leaving Prison</w:t>
      </w:r>
    </w:p>
    <w:p w14:paraId="1E4BEA9A" w14:textId="77777777" w:rsidR="00950835" w:rsidRDefault="00950835" w:rsidP="00950835">
      <w:pPr>
        <w:spacing w:before="100" w:beforeAutospacing="1" w:after="100" w:afterAutospacing="1"/>
      </w:pPr>
      <w:r>
        <w:t>A </w:t>
      </w:r>
      <w:r>
        <w:rPr>
          <w:rStyle w:val="Strong"/>
        </w:rPr>
        <w:t>well-supported transition</w:t>
      </w:r>
      <w:r>
        <w:t> from prison to the community is crucial for preventing reoffending. However, </w:t>
      </w:r>
      <w:r>
        <w:rPr>
          <w:rStyle w:val="Strong"/>
        </w:rPr>
        <w:t>housing, employment, and substance use support remain under-resourced</w:t>
      </w:r>
      <w:r>
        <w:t>. Several strategic initiatives aim to address this:</w:t>
      </w:r>
    </w:p>
    <w:p w14:paraId="6173E54B" w14:textId="77777777" w:rsidR="00950835" w:rsidRDefault="00950835" w:rsidP="001223CA">
      <w:pPr>
        <w:numPr>
          <w:ilvl w:val="0"/>
          <w:numId w:val="18"/>
        </w:numPr>
        <w:spacing w:before="100" w:beforeAutospacing="1" w:after="100" w:afterAutospacing="1" w:line="240" w:lineRule="auto"/>
      </w:pPr>
      <w:r>
        <w:rPr>
          <w:rStyle w:val="Strong"/>
        </w:rPr>
        <w:t>Medication-Assisted Treatment (MAT) standards</w:t>
      </w:r>
      <w:r>
        <w:t> to support individuals with substance use issues</w:t>
      </w:r>
    </w:p>
    <w:p w14:paraId="363055CC" w14:textId="77777777" w:rsidR="00950835" w:rsidRDefault="00950835" w:rsidP="001223CA">
      <w:pPr>
        <w:numPr>
          <w:ilvl w:val="0"/>
          <w:numId w:val="18"/>
        </w:numPr>
        <w:spacing w:before="100" w:beforeAutospacing="1" w:after="100" w:afterAutospacing="1" w:line="240" w:lineRule="auto"/>
      </w:pPr>
      <w:r>
        <w:rPr>
          <w:rStyle w:val="Strong"/>
        </w:rPr>
        <w:t>Sustainable Housing On Release for Everyone (SHORE) standards</w:t>
      </w:r>
      <w:r>
        <w:t> to improve housing options</w:t>
      </w:r>
    </w:p>
    <w:p w14:paraId="77584DFF" w14:textId="77777777" w:rsidR="00950835" w:rsidRDefault="00950835" w:rsidP="001223CA">
      <w:pPr>
        <w:numPr>
          <w:ilvl w:val="0"/>
          <w:numId w:val="18"/>
        </w:numPr>
        <w:spacing w:before="100" w:beforeAutospacing="1" w:after="100" w:afterAutospacing="1" w:line="240" w:lineRule="auto"/>
      </w:pPr>
      <w:r>
        <w:rPr>
          <w:rStyle w:val="Strong"/>
        </w:rPr>
        <w:t>No One Left Behind</w:t>
      </w:r>
      <w:r>
        <w:t> employability strategies for those leaving custody</w:t>
      </w:r>
    </w:p>
    <w:p w14:paraId="11B51624" w14:textId="77777777" w:rsidR="00950835" w:rsidRDefault="00950835" w:rsidP="001223CA">
      <w:pPr>
        <w:numPr>
          <w:ilvl w:val="0"/>
          <w:numId w:val="18"/>
        </w:numPr>
        <w:spacing w:before="100" w:beforeAutospacing="1" w:after="100" w:afterAutospacing="1" w:line="240" w:lineRule="auto"/>
      </w:pPr>
      <w:r>
        <w:rPr>
          <w:rStyle w:val="Strong"/>
        </w:rPr>
        <w:t>A new national throughcare service</w:t>
      </w:r>
      <w:r>
        <w:t>, launching in </w:t>
      </w:r>
      <w:r>
        <w:rPr>
          <w:rStyle w:val="Strong"/>
        </w:rPr>
        <w:t>April 2025</w:t>
      </w:r>
      <w:r>
        <w:t>, to ensure </w:t>
      </w:r>
      <w:r>
        <w:rPr>
          <w:rStyle w:val="Strong"/>
        </w:rPr>
        <w:t>continuous support post-release</w:t>
      </w:r>
    </w:p>
    <w:p w14:paraId="6B1F2922" w14:textId="77777777" w:rsidR="00950835" w:rsidRPr="00576AE6" w:rsidRDefault="00950835" w:rsidP="00950835">
      <w:pPr>
        <w:pStyle w:val="Heading4"/>
        <w:rPr>
          <w:rFonts w:eastAsia="Times New Roman"/>
          <w:b/>
          <w:bCs/>
          <w:i w:val="0"/>
          <w:iCs w:val="0"/>
          <w:sz w:val="28"/>
          <w:szCs w:val="28"/>
        </w:rPr>
      </w:pPr>
      <w:r w:rsidRPr="00576AE6">
        <w:rPr>
          <w:rStyle w:val="Strong"/>
          <w:rFonts w:eastAsia="Times New Roman"/>
          <w:i w:val="0"/>
          <w:iCs w:val="0"/>
          <w:sz w:val="28"/>
          <w:szCs w:val="28"/>
        </w:rPr>
        <w:t>Prevention and Early Intervention</w:t>
      </w:r>
    </w:p>
    <w:p w14:paraId="2579F730" w14:textId="77777777" w:rsidR="00950835" w:rsidRDefault="00950835" w:rsidP="00950835">
      <w:pPr>
        <w:spacing w:before="100" w:beforeAutospacing="1" w:after="100" w:afterAutospacing="1"/>
      </w:pPr>
      <w:r>
        <w:t>Preventative approaches—such as </w:t>
      </w:r>
      <w:r>
        <w:rPr>
          <w:rStyle w:val="Strong"/>
        </w:rPr>
        <w:t>diversion from prosecution</w:t>
      </w:r>
      <w:r>
        <w:t> and </w:t>
      </w:r>
      <w:r>
        <w:rPr>
          <w:rStyle w:val="Strong"/>
        </w:rPr>
        <w:t>progressive youth justice initiatives</w:t>
      </w:r>
      <w:r>
        <w:t>—are proving effective in keeping individuals out of the formal justice system. These efforts need to be </w:t>
      </w:r>
      <w:r>
        <w:rPr>
          <w:rStyle w:val="Strong"/>
        </w:rPr>
        <w:t>scaled up</w:t>
      </w:r>
      <w:r>
        <w:t> to have a greater impact.</w:t>
      </w:r>
    </w:p>
    <w:p w14:paraId="530CAD66" w14:textId="77777777" w:rsidR="00950835" w:rsidRDefault="00950835" w:rsidP="00950835">
      <w:pPr>
        <w:spacing w:before="100" w:beforeAutospacing="1" w:after="100" w:afterAutospacing="1"/>
      </w:pPr>
      <w:r>
        <w:t>Local leadership in community justice is also improving, with </w:t>
      </w:r>
      <w:r>
        <w:rPr>
          <w:rStyle w:val="Strong"/>
        </w:rPr>
        <w:t>better coordination of resources</w:t>
      </w:r>
      <w:r>
        <w:t> and greater involvement of </w:t>
      </w:r>
      <w:r>
        <w:rPr>
          <w:rStyle w:val="Strong"/>
        </w:rPr>
        <w:t>victims, survivors, and families</w:t>
      </w:r>
      <w:r>
        <w:t xml:space="preserve">. However, </w:t>
      </w:r>
      <w:r>
        <w:lastRenderedPageBreak/>
        <w:t>there remains </w:t>
      </w:r>
      <w:r>
        <w:rPr>
          <w:rStyle w:val="Strong"/>
        </w:rPr>
        <w:t>a lack of data</w:t>
      </w:r>
      <w:r>
        <w:t> on how community justice serves individuals with </w:t>
      </w:r>
      <w:r>
        <w:rPr>
          <w:rStyle w:val="Strong"/>
        </w:rPr>
        <w:t>protected characteristics</w:t>
      </w:r>
      <w:r>
        <w:t>, such as those with learning disabilities or language barriers.</w:t>
      </w:r>
    </w:p>
    <w:p w14:paraId="28650E67" w14:textId="77777777" w:rsidR="00950835" w:rsidRPr="00576AE6" w:rsidRDefault="00950835" w:rsidP="00950835">
      <w:pPr>
        <w:pStyle w:val="Heading4"/>
        <w:rPr>
          <w:rFonts w:eastAsia="Times New Roman"/>
          <w:b/>
          <w:bCs/>
          <w:i w:val="0"/>
          <w:iCs w:val="0"/>
          <w:sz w:val="28"/>
          <w:szCs w:val="28"/>
        </w:rPr>
      </w:pPr>
      <w:r w:rsidRPr="00576AE6">
        <w:rPr>
          <w:rStyle w:val="Strong"/>
          <w:rFonts w:eastAsia="Times New Roman"/>
          <w:i w:val="0"/>
          <w:iCs w:val="0"/>
          <w:sz w:val="28"/>
          <w:szCs w:val="28"/>
        </w:rPr>
        <w:t>The Need for Long-Term Investment</w:t>
      </w:r>
    </w:p>
    <w:p w14:paraId="47E651EB" w14:textId="77777777" w:rsidR="00950835" w:rsidRDefault="00950835" w:rsidP="00950835">
      <w:pPr>
        <w:spacing w:before="100" w:beforeAutospacing="1" w:after="100" w:afterAutospacing="1"/>
      </w:pPr>
      <w:r>
        <w:t>Despite progress, Scotland is </w:t>
      </w:r>
      <w:r>
        <w:rPr>
          <w:rStyle w:val="Strong"/>
        </w:rPr>
        <w:t>still far from achieving a ‘Community First’ justice system</w:t>
      </w:r>
      <w:r>
        <w:t>. Community justice services work best when they </w:t>
      </w:r>
      <w:r>
        <w:rPr>
          <w:rStyle w:val="Strong"/>
        </w:rPr>
        <w:t>integrate seamlessly</w:t>
      </w:r>
      <w:r>
        <w:t> with statutory services and third-sector organisations. However, </w:t>
      </w:r>
      <w:r>
        <w:rPr>
          <w:rStyle w:val="Strong"/>
        </w:rPr>
        <w:t>funding remains uncertain</w:t>
      </w:r>
      <w:r>
        <w:t>, making it difficult to sustain and expand successful initiatives.</w:t>
      </w:r>
    </w:p>
    <w:p w14:paraId="69E18FAB" w14:textId="77777777" w:rsidR="00950835" w:rsidRDefault="00950835" w:rsidP="00950835">
      <w:pPr>
        <w:spacing w:before="100" w:beforeAutospacing="1" w:after="100" w:afterAutospacing="1"/>
      </w:pPr>
      <w:r>
        <w:t>If Scotland is to </w:t>
      </w:r>
      <w:r>
        <w:rPr>
          <w:rStyle w:val="Strong"/>
        </w:rPr>
        <w:t>continue reducing its prison population and improving rehabilitation outcomes</w:t>
      </w:r>
      <w:r>
        <w:t>, a </w:t>
      </w:r>
      <w:r>
        <w:rPr>
          <w:rStyle w:val="Strong"/>
        </w:rPr>
        <w:t>long-term commitment to community justice funding is essential</w:t>
      </w:r>
      <w:r>
        <w:t>. With </w:t>
      </w:r>
      <w:r>
        <w:rPr>
          <w:rStyle w:val="Strong"/>
        </w:rPr>
        <w:t>evidence-led investment</w:t>
      </w:r>
      <w:r>
        <w:t>, community justice can play a greater role in preventing crime, reducing reoffending, and creating safer communities.</w:t>
      </w:r>
    </w:p>
    <w:bookmarkEnd w:id="6"/>
    <w:p w14:paraId="596FEFF5" w14:textId="563E708C" w:rsidR="00CA3269" w:rsidRPr="00623EE6" w:rsidRDefault="00CA3269" w:rsidP="001863D0">
      <w:pPr>
        <w:spacing w:line="276" w:lineRule="auto"/>
        <w:rPr>
          <w:color w:val="auto"/>
        </w:rPr>
        <w:sectPr w:rsidR="00CA3269" w:rsidRPr="00623EE6" w:rsidSect="00CA3269">
          <w:pgSz w:w="11906" w:h="16838" w:code="9"/>
          <w:pgMar w:top="1440" w:right="1440" w:bottom="1440" w:left="1440" w:header="720" w:footer="720" w:gutter="0"/>
          <w:cols w:space="708"/>
          <w:docGrid w:linePitch="360"/>
        </w:sectPr>
      </w:pPr>
    </w:p>
    <w:p w14:paraId="691D0EFE" w14:textId="77777777" w:rsidR="00190A95" w:rsidRPr="00623EE6" w:rsidRDefault="00190A95" w:rsidP="00B456C1">
      <w:pPr>
        <w:pStyle w:val="Heading1"/>
      </w:pPr>
      <w:bookmarkStart w:id="7" w:name="_Toc193901784"/>
      <w:r w:rsidRPr="00623EE6">
        <w:lastRenderedPageBreak/>
        <w:t>Recommendations and next steps</w:t>
      </w:r>
      <w:bookmarkEnd w:id="7"/>
    </w:p>
    <w:tbl>
      <w:tblPr>
        <w:tblStyle w:val="TableGrid"/>
        <w:tblW w:w="5000" w:type="pct"/>
        <w:tblLook w:val="04A0" w:firstRow="1" w:lastRow="0" w:firstColumn="1" w:lastColumn="0" w:noHBand="0" w:noVBand="1"/>
      </w:tblPr>
      <w:tblGrid>
        <w:gridCol w:w="1981"/>
        <w:gridCol w:w="6095"/>
        <w:gridCol w:w="5872"/>
      </w:tblGrid>
      <w:tr w:rsidR="00CA3269" w:rsidRPr="00623EE6" w14:paraId="30ACC62B" w14:textId="77777777" w:rsidTr="00921084">
        <w:tc>
          <w:tcPr>
            <w:tcW w:w="710" w:type="pct"/>
          </w:tcPr>
          <w:p w14:paraId="420A7416" w14:textId="45C4B94D" w:rsidR="00190A95" w:rsidRPr="00623EE6" w:rsidRDefault="00190A95" w:rsidP="00A321BE">
            <w:pPr>
              <w:rPr>
                <w:color w:val="auto"/>
                <w:sz w:val="20"/>
              </w:rPr>
            </w:pPr>
            <w:r w:rsidRPr="00623EE6">
              <w:rPr>
                <w:color w:val="auto"/>
                <w:sz w:val="20"/>
              </w:rPr>
              <w:t xml:space="preserve">Focus </w:t>
            </w:r>
            <w:r w:rsidR="00B64201" w:rsidRPr="00623EE6">
              <w:rPr>
                <w:color w:val="auto"/>
                <w:sz w:val="20"/>
              </w:rPr>
              <w:t>a</w:t>
            </w:r>
            <w:r w:rsidRPr="00623EE6">
              <w:rPr>
                <w:color w:val="auto"/>
                <w:sz w:val="20"/>
              </w:rPr>
              <w:t>rea</w:t>
            </w:r>
          </w:p>
        </w:tc>
        <w:tc>
          <w:tcPr>
            <w:tcW w:w="2185" w:type="pct"/>
          </w:tcPr>
          <w:p w14:paraId="26143959" w14:textId="3FAD1769" w:rsidR="00190A95" w:rsidRPr="00623EE6" w:rsidRDefault="00190A95" w:rsidP="00A321BE">
            <w:pPr>
              <w:rPr>
                <w:color w:val="auto"/>
                <w:sz w:val="20"/>
              </w:rPr>
            </w:pPr>
            <w:r w:rsidRPr="00623EE6">
              <w:rPr>
                <w:color w:val="auto"/>
                <w:sz w:val="20"/>
              </w:rPr>
              <w:t xml:space="preserve">The </w:t>
            </w:r>
            <w:r w:rsidR="00646DBF" w:rsidRPr="00623EE6">
              <w:rPr>
                <w:color w:val="auto"/>
                <w:sz w:val="20"/>
              </w:rPr>
              <w:t>i</w:t>
            </w:r>
            <w:r w:rsidRPr="00623EE6">
              <w:rPr>
                <w:color w:val="auto"/>
                <w:sz w:val="20"/>
              </w:rPr>
              <w:t>ssue</w:t>
            </w:r>
          </w:p>
        </w:tc>
        <w:tc>
          <w:tcPr>
            <w:tcW w:w="2105" w:type="pct"/>
          </w:tcPr>
          <w:p w14:paraId="70E8DE80" w14:textId="77777777" w:rsidR="00190A95" w:rsidRPr="00623EE6" w:rsidRDefault="00190A95" w:rsidP="00A321BE">
            <w:pPr>
              <w:rPr>
                <w:color w:val="auto"/>
                <w:sz w:val="20"/>
              </w:rPr>
            </w:pPr>
            <w:r w:rsidRPr="00623EE6">
              <w:rPr>
                <w:color w:val="auto"/>
                <w:sz w:val="20"/>
              </w:rPr>
              <w:t>Recommendation/s</w:t>
            </w:r>
          </w:p>
        </w:tc>
      </w:tr>
      <w:tr w:rsidR="006D4028" w:rsidRPr="00623EE6" w14:paraId="7A2CD242" w14:textId="77777777" w:rsidTr="00921084">
        <w:tc>
          <w:tcPr>
            <w:tcW w:w="710" w:type="pct"/>
          </w:tcPr>
          <w:p w14:paraId="1D55EE3A" w14:textId="32622252" w:rsidR="006D4028" w:rsidRPr="00623EE6" w:rsidRDefault="006D4028" w:rsidP="006D4028">
            <w:pPr>
              <w:rPr>
                <w:color w:val="auto"/>
                <w:sz w:val="20"/>
              </w:rPr>
            </w:pPr>
            <w:r w:rsidRPr="00623EE6">
              <w:rPr>
                <w:color w:val="auto"/>
                <w:sz w:val="20"/>
              </w:rPr>
              <w:t>Resource</w:t>
            </w:r>
          </w:p>
        </w:tc>
        <w:tc>
          <w:tcPr>
            <w:tcW w:w="2185" w:type="pct"/>
          </w:tcPr>
          <w:p w14:paraId="434CC7BE" w14:textId="20AA95EA" w:rsidR="006D4028" w:rsidRPr="00623EE6" w:rsidRDefault="006D4028" w:rsidP="006D4028">
            <w:pPr>
              <w:spacing w:line="259" w:lineRule="auto"/>
              <w:rPr>
                <w:color w:val="auto"/>
                <w:sz w:val="20"/>
              </w:rPr>
            </w:pPr>
            <w:r w:rsidRPr="00623EE6">
              <w:rPr>
                <w:color w:val="auto"/>
                <w:sz w:val="20"/>
              </w:rPr>
              <w:t>Last year we recommended that CJS, the Scottish Government</w:t>
            </w:r>
            <w:r w:rsidR="001A68CF" w:rsidRPr="00623EE6">
              <w:rPr>
                <w:color w:val="auto"/>
                <w:sz w:val="20"/>
              </w:rPr>
              <w:t xml:space="preserve"> </w:t>
            </w:r>
            <w:r w:rsidRPr="00623EE6">
              <w:rPr>
                <w:color w:val="auto"/>
                <w:sz w:val="20"/>
              </w:rPr>
              <w:t>and all partners work together to ensure that community justice across the public and third sector is resourced in a way that matches the policy ambition of</w:t>
            </w:r>
            <w:r w:rsidR="00646DBF" w:rsidRPr="00623EE6">
              <w:rPr>
                <w:color w:val="auto"/>
                <w:sz w:val="20"/>
              </w:rPr>
              <w:t xml:space="preserve"> </w:t>
            </w:r>
            <w:hyperlink r:id="rId28" w:history="1">
              <w:r w:rsidRPr="00623EE6">
                <w:rPr>
                  <w:rStyle w:val="Hyperlink"/>
                  <w:color w:val="auto"/>
                  <w:sz w:val="20"/>
                  <w:szCs w:val="20"/>
                </w:rPr>
                <w:t>The Vision for Justice in Scotland</w:t>
              </w:r>
            </w:hyperlink>
            <w:r w:rsidRPr="00623EE6">
              <w:rPr>
                <w:color w:val="auto"/>
                <w:sz w:val="20"/>
              </w:rPr>
              <w:t xml:space="preserve">. </w:t>
            </w:r>
          </w:p>
          <w:p w14:paraId="739792FF" w14:textId="77777777" w:rsidR="006D4028" w:rsidRPr="00623EE6" w:rsidRDefault="006D4028" w:rsidP="006D4028">
            <w:pPr>
              <w:spacing w:line="259" w:lineRule="auto"/>
              <w:rPr>
                <w:color w:val="auto"/>
                <w:sz w:val="20"/>
              </w:rPr>
            </w:pPr>
          </w:p>
          <w:p w14:paraId="18EF2BB6" w14:textId="45524A9F" w:rsidR="006D4028" w:rsidRPr="00623EE6" w:rsidRDefault="006D4028" w:rsidP="006D4028">
            <w:pPr>
              <w:spacing w:line="259" w:lineRule="auto"/>
              <w:rPr>
                <w:color w:val="auto"/>
                <w:sz w:val="20"/>
              </w:rPr>
            </w:pPr>
            <w:r w:rsidRPr="00623EE6">
              <w:rPr>
                <w:color w:val="auto"/>
                <w:sz w:val="20"/>
              </w:rPr>
              <w:t>While there have been some notable developments</w:t>
            </w:r>
            <w:r w:rsidR="001E4C44" w:rsidRPr="00623EE6">
              <w:rPr>
                <w:color w:val="auto"/>
                <w:sz w:val="20"/>
              </w:rPr>
              <w:t>,</w:t>
            </w:r>
            <w:r w:rsidRPr="00623EE6">
              <w:rPr>
                <w:color w:val="auto"/>
                <w:sz w:val="20"/>
              </w:rPr>
              <w:t xml:space="preserve"> we recommend that the focus on appropriate resourcing for community justice continues.</w:t>
            </w:r>
          </w:p>
          <w:p w14:paraId="2A6CAE53" w14:textId="77777777" w:rsidR="006D4028" w:rsidRPr="00623EE6" w:rsidRDefault="006D4028" w:rsidP="006D4028">
            <w:pPr>
              <w:spacing w:line="259" w:lineRule="auto"/>
              <w:rPr>
                <w:color w:val="auto"/>
                <w:sz w:val="20"/>
              </w:rPr>
            </w:pPr>
          </w:p>
          <w:p w14:paraId="26686B63" w14:textId="4067C2CD" w:rsidR="006D4028" w:rsidRPr="00623EE6" w:rsidRDefault="006D4028" w:rsidP="006D4028">
            <w:pPr>
              <w:spacing w:line="259" w:lineRule="auto"/>
              <w:rPr>
                <w:color w:val="auto"/>
                <w:sz w:val="20"/>
              </w:rPr>
            </w:pPr>
            <w:r w:rsidRPr="00623EE6">
              <w:rPr>
                <w:color w:val="auto"/>
                <w:sz w:val="20"/>
              </w:rPr>
              <w:t xml:space="preserve">Despite additional funding allocations to support national throughcare provision and local </w:t>
            </w:r>
            <w:r w:rsidR="00B96F21" w:rsidRPr="00623EE6">
              <w:rPr>
                <w:color w:val="auto"/>
                <w:sz w:val="20"/>
              </w:rPr>
              <w:t>community justice</w:t>
            </w:r>
            <w:r w:rsidRPr="00623EE6">
              <w:rPr>
                <w:color w:val="auto"/>
                <w:sz w:val="20"/>
              </w:rPr>
              <w:t xml:space="preserve"> services</w:t>
            </w:r>
            <w:r w:rsidR="00010C0E" w:rsidRPr="00623EE6">
              <w:rPr>
                <w:color w:val="auto"/>
                <w:sz w:val="20"/>
              </w:rPr>
              <w:t>,</w:t>
            </w:r>
            <w:r w:rsidRPr="00623EE6">
              <w:rPr>
                <w:color w:val="auto"/>
                <w:sz w:val="20"/>
              </w:rPr>
              <w:t xml:space="preserve"> </w:t>
            </w:r>
            <w:r w:rsidR="00441465" w:rsidRPr="00623EE6">
              <w:rPr>
                <w:color w:val="auto"/>
                <w:sz w:val="20"/>
              </w:rPr>
              <w:t>partners</w:t>
            </w:r>
            <w:r w:rsidR="00010C0E" w:rsidRPr="00623EE6">
              <w:rPr>
                <w:color w:val="auto"/>
                <w:sz w:val="20"/>
              </w:rPr>
              <w:t>’</w:t>
            </w:r>
            <w:r w:rsidR="00441465" w:rsidRPr="00623EE6">
              <w:rPr>
                <w:color w:val="auto"/>
                <w:sz w:val="20"/>
              </w:rPr>
              <w:t xml:space="preserve"> experience is that</w:t>
            </w:r>
            <w:r w:rsidRPr="00623EE6">
              <w:rPr>
                <w:color w:val="auto"/>
                <w:sz w:val="20"/>
              </w:rPr>
              <w:t xml:space="preserve"> the resource allocated to the delivery of community justice outcomes remains out of step with the demand and the policy aspiration set by </w:t>
            </w:r>
            <w:r w:rsidR="00010C0E" w:rsidRPr="00623EE6">
              <w:rPr>
                <w:color w:val="auto"/>
                <w:sz w:val="20"/>
              </w:rPr>
              <w:t>g</w:t>
            </w:r>
            <w:r w:rsidRPr="00623EE6">
              <w:rPr>
                <w:color w:val="auto"/>
                <w:sz w:val="20"/>
              </w:rPr>
              <w:t>overnment to shift the balance from custody to community.</w:t>
            </w:r>
            <w:r w:rsidR="0079518D" w:rsidRPr="00623EE6">
              <w:rPr>
                <w:color w:val="auto"/>
                <w:sz w:val="20"/>
              </w:rPr>
              <w:t xml:space="preserve"> </w:t>
            </w:r>
            <w:r w:rsidR="0062483B" w:rsidRPr="00623EE6">
              <w:rPr>
                <w:color w:val="auto"/>
                <w:sz w:val="20"/>
              </w:rPr>
              <w:t>C</w:t>
            </w:r>
            <w:r w:rsidRPr="00623EE6">
              <w:rPr>
                <w:color w:val="auto"/>
                <w:sz w:val="20"/>
              </w:rPr>
              <w:t>urrent public sector resources are stretched across the board</w:t>
            </w:r>
            <w:r w:rsidR="0062483B" w:rsidRPr="00623EE6">
              <w:rPr>
                <w:color w:val="auto"/>
                <w:sz w:val="20"/>
              </w:rPr>
              <w:t>,</w:t>
            </w:r>
            <w:r w:rsidRPr="00623EE6">
              <w:rPr>
                <w:color w:val="auto"/>
                <w:sz w:val="20"/>
              </w:rPr>
              <w:t xml:space="preserve"> and national efforts at public sector reform and increasing efficienc</w:t>
            </w:r>
            <w:r w:rsidR="0062483B" w:rsidRPr="00623EE6">
              <w:rPr>
                <w:color w:val="auto"/>
                <w:sz w:val="20"/>
              </w:rPr>
              <w:t>y</w:t>
            </w:r>
            <w:r w:rsidRPr="00623EE6">
              <w:rPr>
                <w:color w:val="auto"/>
                <w:sz w:val="20"/>
              </w:rPr>
              <w:t xml:space="preserve"> are ongoing. </w:t>
            </w:r>
          </w:p>
          <w:p w14:paraId="371CA498" w14:textId="2E72688B" w:rsidR="006D4028" w:rsidRPr="00623EE6" w:rsidRDefault="00346CF2" w:rsidP="006D4028">
            <w:pPr>
              <w:spacing w:line="259" w:lineRule="auto"/>
              <w:rPr>
                <w:color w:val="auto"/>
                <w:sz w:val="20"/>
              </w:rPr>
            </w:pPr>
            <w:r w:rsidRPr="00623EE6">
              <w:rPr>
                <w:color w:val="auto"/>
                <w:sz w:val="20"/>
              </w:rPr>
              <w:t xml:space="preserve">The evidence </w:t>
            </w:r>
            <w:r w:rsidR="00045771" w:rsidRPr="00623EE6">
              <w:rPr>
                <w:color w:val="auto"/>
                <w:sz w:val="20"/>
              </w:rPr>
              <w:t xml:space="preserve">is clear </w:t>
            </w:r>
            <w:r w:rsidR="0062483B" w:rsidRPr="00623EE6">
              <w:rPr>
                <w:color w:val="auto"/>
                <w:sz w:val="20"/>
              </w:rPr>
              <w:t xml:space="preserve">– </w:t>
            </w:r>
            <w:r w:rsidR="00045771" w:rsidRPr="00623EE6">
              <w:rPr>
                <w:color w:val="auto"/>
                <w:sz w:val="20"/>
              </w:rPr>
              <w:t>c</w:t>
            </w:r>
            <w:r w:rsidR="006D4028" w:rsidRPr="00623EE6">
              <w:rPr>
                <w:color w:val="auto"/>
                <w:sz w:val="20"/>
              </w:rPr>
              <w:t>ommunity justice</w:t>
            </w:r>
            <w:r w:rsidR="0079518D" w:rsidRPr="00623EE6">
              <w:rPr>
                <w:color w:val="auto"/>
                <w:sz w:val="20"/>
              </w:rPr>
              <w:t xml:space="preserve"> </w:t>
            </w:r>
            <w:r w:rsidR="006D4028" w:rsidRPr="00623EE6">
              <w:rPr>
                <w:color w:val="auto"/>
                <w:sz w:val="20"/>
              </w:rPr>
              <w:t>can reduce longer</w:t>
            </w:r>
            <w:r w:rsidR="0062483B" w:rsidRPr="00623EE6">
              <w:rPr>
                <w:color w:val="auto"/>
                <w:sz w:val="20"/>
              </w:rPr>
              <w:t>-</w:t>
            </w:r>
            <w:r w:rsidR="006D4028" w:rsidRPr="00623EE6">
              <w:rPr>
                <w:color w:val="auto"/>
                <w:sz w:val="20"/>
              </w:rPr>
              <w:t>term expenditure across all public services, through promoting desistence from offending, addressing need and reducing future victimisation. Many of the issues implicated – housing, addiction, trauma, poverty – are not ones that justice agencies in and of themselves can resolve</w:t>
            </w:r>
            <w:r w:rsidR="0062483B" w:rsidRPr="00623EE6">
              <w:rPr>
                <w:color w:val="auto"/>
                <w:sz w:val="20"/>
              </w:rPr>
              <w:t>.</w:t>
            </w:r>
            <w:r w:rsidR="006D4028" w:rsidRPr="00623EE6">
              <w:rPr>
                <w:color w:val="auto"/>
                <w:sz w:val="20"/>
              </w:rPr>
              <w:t xml:space="preserve"> </w:t>
            </w:r>
            <w:r w:rsidR="0062483B" w:rsidRPr="00623EE6">
              <w:rPr>
                <w:color w:val="auto"/>
                <w:sz w:val="20"/>
              </w:rPr>
              <w:t>R</w:t>
            </w:r>
            <w:r w:rsidR="006D4028" w:rsidRPr="00623EE6">
              <w:rPr>
                <w:color w:val="auto"/>
                <w:sz w:val="20"/>
              </w:rPr>
              <w:t>ather</w:t>
            </w:r>
            <w:r w:rsidR="0062483B" w:rsidRPr="00623EE6">
              <w:rPr>
                <w:color w:val="auto"/>
                <w:sz w:val="20"/>
              </w:rPr>
              <w:t>, they</w:t>
            </w:r>
            <w:r w:rsidR="006D4028" w:rsidRPr="00623EE6">
              <w:rPr>
                <w:color w:val="auto"/>
                <w:sz w:val="20"/>
              </w:rPr>
              <w:t xml:space="preserve"> lie in the domain of wider public services and the building of an individual’s capacity for resilience and meaningful social connection.</w:t>
            </w:r>
          </w:p>
          <w:p w14:paraId="04A0D6CE" w14:textId="77777777" w:rsidR="006D4028" w:rsidRPr="00623EE6" w:rsidRDefault="006D4028" w:rsidP="006D4028">
            <w:pPr>
              <w:rPr>
                <w:color w:val="auto"/>
                <w:sz w:val="20"/>
              </w:rPr>
            </w:pPr>
          </w:p>
        </w:tc>
        <w:tc>
          <w:tcPr>
            <w:tcW w:w="2105" w:type="pct"/>
          </w:tcPr>
          <w:p w14:paraId="60E31BE1" w14:textId="7A64C5FA" w:rsidR="006D4028" w:rsidRPr="00623EE6" w:rsidRDefault="006D4028" w:rsidP="006D4028">
            <w:pPr>
              <w:rPr>
                <w:color w:val="auto"/>
                <w:sz w:val="20"/>
              </w:rPr>
            </w:pPr>
            <w:r w:rsidRPr="00623EE6">
              <w:rPr>
                <w:color w:val="auto"/>
                <w:sz w:val="20"/>
              </w:rPr>
              <w:t xml:space="preserve">The Scottish Government, CJS and all partners </w:t>
            </w:r>
            <w:r w:rsidR="00C8714A" w:rsidRPr="00623EE6">
              <w:rPr>
                <w:color w:val="auto"/>
                <w:sz w:val="20"/>
              </w:rPr>
              <w:t xml:space="preserve">should </w:t>
            </w:r>
            <w:r w:rsidRPr="00623EE6">
              <w:rPr>
                <w:color w:val="auto"/>
                <w:sz w:val="20"/>
              </w:rPr>
              <w:t xml:space="preserve">continue to work together to ensure that community justice across the public and third sectors is resourced in a way that matches the policy ambition of </w:t>
            </w:r>
            <w:r w:rsidR="0062483B" w:rsidRPr="00623EE6">
              <w:rPr>
                <w:color w:val="auto"/>
                <w:sz w:val="20"/>
              </w:rPr>
              <w:t>t</w:t>
            </w:r>
            <w:r w:rsidRPr="00623EE6">
              <w:rPr>
                <w:color w:val="auto"/>
                <w:sz w:val="20"/>
              </w:rPr>
              <w:t xml:space="preserve">he Vision for Justice in Scotland and the National Strategy for Community Justice. </w:t>
            </w:r>
            <w:r w:rsidR="00441465" w:rsidRPr="00623EE6">
              <w:rPr>
                <w:color w:val="auto"/>
                <w:sz w:val="20"/>
              </w:rPr>
              <w:t xml:space="preserve">A dedicated group with a clear action plan should be established by </w:t>
            </w:r>
            <w:r w:rsidR="00646DBF" w:rsidRPr="00623EE6">
              <w:rPr>
                <w:color w:val="auto"/>
                <w:sz w:val="20"/>
              </w:rPr>
              <w:t xml:space="preserve">the Scottish Government </w:t>
            </w:r>
            <w:r w:rsidR="00441465" w:rsidRPr="00623EE6">
              <w:rPr>
                <w:color w:val="auto"/>
                <w:sz w:val="20"/>
              </w:rPr>
              <w:t>to address the resourcing of community justice.</w:t>
            </w:r>
          </w:p>
          <w:p w14:paraId="295D4500" w14:textId="77777777" w:rsidR="006D4028" w:rsidRPr="00623EE6" w:rsidRDefault="006D4028" w:rsidP="006D4028">
            <w:pPr>
              <w:rPr>
                <w:color w:val="auto"/>
                <w:sz w:val="20"/>
              </w:rPr>
            </w:pPr>
          </w:p>
        </w:tc>
      </w:tr>
      <w:tr w:rsidR="006D4028" w:rsidRPr="00623EE6" w14:paraId="580C43D6" w14:textId="77777777" w:rsidTr="00921084">
        <w:tc>
          <w:tcPr>
            <w:tcW w:w="710" w:type="pct"/>
          </w:tcPr>
          <w:p w14:paraId="6F3B2839" w14:textId="39324539" w:rsidR="006D4028" w:rsidRPr="00623EE6" w:rsidRDefault="006D4028" w:rsidP="006D4028">
            <w:pPr>
              <w:rPr>
                <w:color w:val="auto"/>
                <w:sz w:val="20"/>
              </w:rPr>
            </w:pPr>
            <w:r w:rsidRPr="00623EE6">
              <w:rPr>
                <w:color w:val="auto"/>
                <w:sz w:val="20"/>
              </w:rPr>
              <w:lastRenderedPageBreak/>
              <w:t>Data</w:t>
            </w:r>
          </w:p>
        </w:tc>
        <w:tc>
          <w:tcPr>
            <w:tcW w:w="2185" w:type="pct"/>
          </w:tcPr>
          <w:p w14:paraId="4B831349" w14:textId="4C12299C" w:rsidR="006D4028" w:rsidRPr="00623EE6" w:rsidRDefault="00AF16C8" w:rsidP="006D4028">
            <w:pPr>
              <w:rPr>
                <w:color w:val="auto"/>
                <w:sz w:val="20"/>
              </w:rPr>
            </w:pPr>
            <w:r w:rsidRPr="00623EE6">
              <w:rPr>
                <w:color w:val="auto"/>
                <w:sz w:val="20"/>
              </w:rPr>
              <w:t>While national</w:t>
            </w:r>
            <w:r w:rsidR="006D4028" w:rsidRPr="00623EE6">
              <w:rPr>
                <w:color w:val="auto"/>
                <w:sz w:val="20"/>
              </w:rPr>
              <w:t xml:space="preserve"> justice partners each hold substantial volumes of data, </w:t>
            </w:r>
            <w:r w:rsidR="00EF358C" w:rsidRPr="00623EE6">
              <w:rPr>
                <w:color w:val="auto"/>
                <w:sz w:val="20"/>
              </w:rPr>
              <w:t>th</w:t>
            </w:r>
            <w:r w:rsidR="00BC4AD4" w:rsidRPr="00623EE6">
              <w:rPr>
                <w:color w:val="auto"/>
                <w:sz w:val="20"/>
              </w:rPr>
              <w:t>ey</w:t>
            </w:r>
            <w:r w:rsidR="0080752D" w:rsidRPr="00623EE6">
              <w:rPr>
                <w:color w:val="auto"/>
                <w:sz w:val="20"/>
              </w:rPr>
              <w:t xml:space="preserve"> are </w:t>
            </w:r>
            <w:r w:rsidR="006D4028" w:rsidRPr="00623EE6">
              <w:rPr>
                <w:color w:val="auto"/>
                <w:sz w:val="20"/>
              </w:rPr>
              <w:t>not routinely</w:t>
            </w:r>
            <w:r w:rsidR="00FC0D97" w:rsidRPr="00623EE6">
              <w:rPr>
                <w:color w:val="auto"/>
                <w:sz w:val="20"/>
              </w:rPr>
              <w:t xml:space="preserve"> considered together</w:t>
            </w:r>
            <w:r w:rsidR="0020690D" w:rsidRPr="00623EE6">
              <w:rPr>
                <w:color w:val="auto"/>
                <w:sz w:val="20"/>
              </w:rPr>
              <w:t xml:space="preserve">, </w:t>
            </w:r>
            <w:r w:rsidR="00F61827" w:rsidRPr="00623EE6">
              <w:rPr>
                <w:color w:val="auto"/>
                <w:sz w:val="20"/>
              </w:rPr>
              <w:t xml:space="preserve">shared </w:t>
            </w:r>
            <w:r w:rsidR="003D100F" w:rsidRPr="00623EE6">
              <w:rPr>
                <w:color w:val="auto"/>
                <w:sz w:val="20"/>
              </w:rPr>
              <w:t xml:space="preserve">across the sector </w:t>
            </w:r>
            <w:r w:rsidR="001256CF" w:rsidRPr="00623EE6">
              <w:rPr>
                <w:color w:val="auto"/>
                <w:sz w:val="20"/>
              </w:rPr>
              <w:t xml:space="preserve">at local level </w:t>
            </w:r>
            <w:r w:rsidR="003D100F" w:rsidRPr="00623EE6">
              <w:rPr>
                <w:color w:val="auto"/>
                <w:sz w:val="20"/>
              </w:rPr>
              <w:t>or</w:t>
            </w:r>
            <w:r w:rsidR="0079518D" w:rsidRPr="00623EE6">
              <w:rPr>
                <w:color w:val="auto"/>
                <w:sz w:val="20"/>
              </w:rPr>
              <w:t xml:space="preserve"> </w:t>
            </w:r>
            <w:r w:rsidR="003D100F" w:rsidRPr="00623EE6">
              <w:rPr>
                <w:color w:val="auto"/>
                <w:sz w:val="20"/>
              </w:rPr>
              <w:t>ana</w:t>
            </w:r>
            <w:r w:rsidR="00470EBE" w:rsidRPr="00623EE6">
              <w:rPr>
                <w:color w:val="auto"/>
                <w:sz w:val="20"/>
              </w:rPr>
              <w:t>lysed</w:t>
            </w:r>
            <w:r w:rsidR="006D4028" w:rsidRPr="00623EE6">
              <w:rPr>
                <w:color w:val="auto"/>
                <w:sz w:val="20"/>
              </w:rPr>
              <w:t xml:space="preserve"> to </w:t>
            </w:r>
            <w:r w:rsidRPr="00623EE6">
              <w:rPr>
                <w:color w:val="auto"/>
                <w:sz w:val="20"/>
              </w:rPr>
              <w:t>inform meaningful</w:t>
            </w:r>
            <w:r w:rsidR="006D4028" w:rsidRPr="00623EE6">
              <w:rPr>
                <w:color w:val="auto"/>
                <w:sz w:val="20"/>
              </w:rPr>
              <w:t xml:space="preserve"> a</w:t>
            </w:r>
            <w:r w:rsidR="0020690D" w:rsidRPr="00623EE6">
              <w:rPr>
                <w:color w:val="auto"/>
                <w:sz w:val="20"/>
              </w:rPr>
              <w:t>n</w:t>
            </w:r>
            <w:r w:rsidR="006D4028" w:rsidRPr="00623EE6">
              <w:rPr>
                <w:color w:val="auto"/>
                <w:sz w:val="20"/>
              </w:rPr>
              <w:t>d timely actions to improve the delivery of justice services. With joint analysis of the system-level data</w:t>
            </w:r>
            <w:r w:rsidR="00F435E2" w:rsidRPr="00623EE6">
              <w:rPr>
                <w:color w:val="auto"/>
                <w:sz w:val="20"/>
              </w:rPr>
              <w:t>,</w:t>
            </w:r>
            <w:r w:rsidR="006D4028" w:rsidRPr="00623EE6">
              <w:rPr>
                <w:color w:val="auto"/>
                <w:sz w:val="20"/>
              </w:rPr>
              <w:t xml:space="preserve"> there</w:t>
            </w:r>
            <w:r w:rsidR="00810B23" w:rsidRPr="00623EE6">
              <w:rPr>
                <w:color w:val="auto"/>
                <w:sz w:val="20"/>
              </w:rPr>
              <w:t xml:space="preserve"> would be</w:t>
            </w:r>
            <w:r w:rsidR="006D4028" w:rsidRPr="00623EE6">
              <w:rPr>
                <w:color w:val="auto"/>
                <w:sz w:val="20"/>
              </w:rPr>
              <w:t xml:space="preserve"> greater opportunity for system improvement and innovation.</w:t>
            </w:r>
          </w:p>
          <w:p w14:paraId="7E87A5AB" w14:textId="77777777" w:rsidR="006D4028" w:rsidRPr="00623EE6" w:rsidRDefault="006D4028" w:rsidP="006D4028">
            <w:pPr>
              <w:rPr>
                <w:color w:val="auto"/>
                <w:sz w:val="20"/>
              </w:rPr>
            </w:pPr>
          </w:p>
          <w:p w14:paraId="34EB7C45" w14:textId="7B0C102D" w:rsidR="006D4028" w:rsidRPr="00623EE6" w:rsidRDefault="006D4028" w:rsidP="006D4028">
            <w:pPr>
              <w:rPr>
                <w:color w:val="auto"/>
                <w:sz w:val="20"/>
              </w:rPr>
            </w:pPr>
            <w:r w:rsidRPr="00623EE6">
              <w:rPr>
                <w:color w:val="auto"/>
                <w:sz w:val="20"/>
              </w:rPr>
              <w:t xml:space="preserve">Local areas experience barriers to accessing data </w:t>
            </w:r>
            <w:r w:rsidR="0020690D" w:rsidRPr="00623EE6">
              <w:rPr>
                <w:color w:val="auto"/>
                <w:sz w:val="20"/>
              </w:rPr>
              <w:t xml:space="preserve">to assist in </w:t>
            </w:r>
            <w:r w:rsidRPr="00623EE6">
              <w:rPr>
                <w:color w:val="auto"/>
                <w:sz w:val="20"/>
              </w:rPr>
              <w:t xml:space="preserve">identifying and implementing improvement actions. </w:t>
            </w:r>
            <w:r w:rsidR="00F435E2" w:rsidRPr="00623EE6">
              <w:rPr>
                <w:color w:val="auto"/>
                <w:sz w:val="20"/>
              </w:rPr>
              <w:t>Changing this</w:t>
            </w:r>
            <w:r w:rsidRPr="00623EE6">
              <w:rPr>
                <w:color w:val="auto"/>
                <w:sz w:val="20"/>
              </w:rPr>
              <w:t xml:space="preserve"> requires national levers of influence.</w:t>
            </w:r>
          </w:p>
          <w:p w14:paraId="490B3350" w14:textId="0C42BCCC" w:rsidR="006D4028" w:rsidRPr="00623EE6" w:rsidRDefault="006D4028" w:rsidP="006D4028">
            <w:pPr>
              <w:rPr>
                <w:color w:val="auto"/>
                <w:sz w:val="20"/>
              </w:rPr>
            </w:pPr>
          </w:p>
          <w:p w14:paraId="4DBC7282" w14:textId="18336E20" w:rsidR="006D4028" w:rsidRPr="00623EE6" w:rsidRDefault="006D4028" w:rsidP="006D4028">
            <w:pPr>
              <w:rPr>
                <w:color w:val="auto"/>
                <w:sz w:val="20"/>
              </w:rPr>
            </w:pPr>
            <w:r w:rsidRPr="00623EE6">
              <w:rPr>
                <w:color w:val="auto"/>
                <w:sz w:val="20"/>
              </w:rPr>
              <w:t>Significantly more nuanced analysis a</w:t>
            </w:r>
            <w:r w:rsidR="001256CF" w:rsidRPr="00623EE6">
              <w:rPr>
                <w:color w:val="auto"/>
                <w:sz w:val="20"/>
              </w:rPr>
              <w:t xml:space="preserve">s well as collection of </w:t>
            </w:r>
            <w:r w:rsidRPr="00623EE6">
              <w:rPr>
                <w:color w:val="auto"/>
                <w:sz w:val="20"/>
              </w:rPr>
              <w:t>new data</w:t>
            </w:r>
            <w:r w:rsidR="00245D4C" w:rsidRPr="00623EE6">
              <w:rPr>
                <w:color w:val="auto"/>
                <w:sz w:val="20"/>
              </w:rPr>
              <w:t xml:space="preserve"> </w:t>
            </w:r>
            <w:r w:rsidR="00F435E2" w:rsidRPr="00623EE6">
              <w:rPr>
                <w:color w:val="auto"/>
                <w:sz w:val="20"/>
              </w:rPr>
              <w:t>are</w:t>
            </w:r>
            <w:r w:rsidRPr="00623EE6">
              <w:rPr>
                <w:color w:val="auto"/>
                <w:sz w:val="20"/>
              </w:rPr>
              <w:t xml:space="preserve"> required </w:t>
            </w:r>
            <w:r w:rsidR="00F435E2" w:rsidRPr="00623EE6">
              <w:rPr>
                <w:color w:val="auto"/>
                <w:sz w:val="20"/>
              </w:rPr>
              <w:t>for</w:t>
            </w:r>
            <w:r w:rsidR="009127C4" w:rsidRPr="00623EE6">
              <w:rPr>
                <w:color w:val="auto"/>
                <w:sz w:val="20"/>
              </w:rPr>
              <w:t xml:space="preserve"> community</w:t>
            </w:r>
            <w:r w:rsidRPr="00623EE6">
              <w:rPr>
                <w:color w:val="auto"/>
                <w:sz w:val="20"/>
              </w:rPr>
              <w:t xml:space="preserve"> justice outcomes in order to make inferences from the national indicators and steer </w:t>
            </w:r>
            <w:r w:rsidR="00245D4C" w:rsidRPr="00623EE6">
              <w:rPr>
                <w:color w:val="auto"/>
                <w:sz w:val="20"/>
              </w:rPr>
              <w:t xml:space="preserve">further </w:t>
            </w:r>
            <w:r w:rsidRPr="00623EE6">
              <w:rPr>
                <w:color w:val="auto"/>
                <w:sz w:val="20"/>
              </w:rPr>
              <w:t>evidence</w:t>
            </w:r>
            <w:r w:rsidR="00F435E2" w:rsidRPr="00623EE6">
              <w:rPr>
                <w:color w:val="auto"/>
                <w:sz w:val="20"/>
              </w:rPr>
              <w:t>-</w:t>
            </w:r>
            <w:r w:rsidRPr="00623EE6">
              <w:rPr>
                <w:color w:val="auto"/>
                <w:sz w:val="20"/>
              </w:rPr>
              <w:t>led improvement activities.</w:t>
            </w:r>
          </w:p>
          <w:p w14:paraId="5181B506" w14:textId="77777777" w:rsidR="006D4028" w:rsidRPr="00623EE6" w:rsidRDefault="006D4028" w:rsidP="006D4028">
            <w:pPr>
              <w:rPr>
                <w:color w:val="auto"/>
                <w:sz w:val="20"/>
              </w:rPr>
            </w:pPr>
          </w:p>
        </w:tc>
        <w:tc>
          <w:tcPr>
            <w:tcW w:w="2105" w:type="pct"/>
          </w:tcPr>
          <w:p w14:paraId="4896B0DF" w14:textId="10702B05" w:rsidR="006D4028" w:rsidRPr="00623EE6" w:rsidRDefault="00D85CF3" w:rsidP="00552CEA">
            <w:pPr>
              <w:spacing w:line="276" w:lineRule="auto"/>
              <w:rPr>
                <w:color w:val="auto"/>
                <w:sz w:val="20"/>
              </w:rPr>
            </w:pPr>
            <w:r w:rsidRPr="00623EE6">
              <w:rPr>
                <w:color w:val="auto"/>
                <w:sz w:val="20"/>
              </w:rPr>
              <w:t xml:space="preserve">The Scottish Government, CJS and national partners should ensure that relevant national data and information </w:t>
            </w:r>
            <w:r w:rsidR="00F435E2" w:rsidRPr="00623EE6">
              <w:rPr>
                <w:color w:val="auto"/>
                <w:sz w:val="20"/>
              </w:rPr>
              <w:t xml:space="preserve">are </w:t>
            </w:r>
            <w:r w:rsidRPr="00623EE6">
              <w:rPr>
                <w:color w:val="auto"/>
                <w:sz w:val="20"/>
              </w:rPr>
              <w:t>made available to local areas</w:t>
            </w:r>
            <w:r w:rsidR="003663A7" w:rsidRPr="00623EE6">
              <w:rPr>
                <w:color w:val="auto"/>
                <w:sz w:val="20"/>
              </w:rPr>
              <w:t>,</w:t>
            </w:r>
            <w:r w:rsidRPr="00623EE6">
              <w:rPr>
                <w:color w:val="auto"/>
                <w:sz w:val="20"/>
              </w:rPr>
              <w:t xml:space="preserve"> disaggregated to local level</w:t>
            </w:r>
            <w:r w:rsidR="004C2A51" w:rsidRPr="00623EE6">
              <w:rPr>
                <w:color w:val="auto"/>
                <w:sz w:val="20"/>
              </w:rPr>
              <w:t>,</w:t>
            </w:r>
            <w:r w:rsidRPr="00623EE6">
              <w:rPr>
                <w:color w:val="auto"/>
                <w:sz w:val="20"/>
              </w:rPr>
              <w:t xml:space="preserve"> on a regular and ongoing basis to enable local targeted improvement.</w:t>
            </w:r>
            <w:r w:rsidR="0079518D" w:rsidRPr="00623EE6">
              <w:rPr>
                <w:color w:val="auto"/>
                <w:sz w:val="20"/>
              </w:rPr>
              <w:t xml:space="preserve"> </w:t>
            </w:r>
            <w:r w:rsidRPr="00623EE6">
              <w:rPr>
                <w:color w:val="auto"/>
                <w:sz w:val="20"/>
              </w:rPr>
              <w:t>CJS</w:t>
            </w:r>
            <w:r w:rsidR="00AC1FF3" w:rsidRPr="00623EE6">
              <w:rPr>
                <w:color w:val="auto"/>
                <w:sz w:val="20"/>
              </w:rPr>
              <w:t>,</w:t>
            </w:r>
            <w:r w:rsidRPr="00623EE6">
              <w:rPr>
                <w:color w:val="auto"/>
                <w:sz w:val="20"/>
              </w:rPr>
              <w:t xml:space="preserve"> working with national statutory justice partners on the </w:t>
            </w:r>
            <w:r w:rsidR="00AC1FF3" w:rsidRPr="00623EE6">
              <w:rPr>
                <w:color w:val="auto"/>
                <w:sz w:val="20"/>
              </w:rPr>
              <w:t xml:space="preserve">justice board, </w:t>
            </w:r>
            <w:r w:rsidRPr="00623EE6">
              <w:rPr>
                <w:color w:val="auto"/>
                <w:sz w:val="20"/>
              </w:rPr>
              <w:t xml:space="preserve">will work to improve sharing of data with local </w:t>
            </w:r>
            <w:r w:rsidR="00A4795C" w:rsidRPr="00623EE6">
              <w:rPr>
                <w:color w:val="auto"/>
                <w:sz w:val="20"/>
              </w:rPr>
              <w:t xml:space="preserve">community justice </w:t>
            </w:r>
            <w:r w:rsidRPr="00623EE6">
              <w:rPr>
                <w:color w:val="auto"/>
                <w:sz w:val="20"/>
              </w:rPr>
              <w:t xml:space="preserve">partners as part of further development of actions under the </w:t>
            </w:r>
            <w:r w:rsidR="00A4795C" w:rsidRPr="00623EE6">
              <w:rPr>
                <w:color w:val="auto"/>
                <w:sz w:val="20"/>
              </w:rPr>
              <w:t>d</w:t>
            </w:r>
            <w:r w:rsidRPr="00623EE6">
              <w:rPr>
                <w:color w:val="auto"/>
                <w:sz w:val="20"/>
              </w:rPr>
              <w:t xml:space="preserve">elivery </w:t>
            </w:r>
            <w:r w:rsidR="00A4795C" w:rsidRPr="00623EE6">
              <w:rPr>
                <w:color w:val="auto"/>
                <w:sz w:val="20"/>
              </w:rPr>
              <w:t>p</w:t>
            </w:r>
            <w:r w:rsidRPr="00623EE6">
              <w:rPr>
                <w:color w:val="auto"/>
                <w:sz w:val="20"/>
              </w:rPr>
              <w:t>lan.</w:t>
            </w:r>
          </w:p>
        </w:tc>
      </w:tr>
      <w:tr w:rsidR="006D4028" w:rsidRPr="00623EE6" w14:paraId="0570504D" w14:textId="77777777" w:rsidTr="00921084">
        <w:tc>
          <w:tcPr>
            <w:tcW w:w="710" w:type="pct"/>
          </w:tcPr>
          <w:p w14:paraId="69934700" w14:textId="6BF8138A" w:rsidR="006D4028" w:rsidRPr="00623EE6" w:rsidRDefault="006D4028" w:rsidP="006D4028">
            <w:pPr>
              <w:rPr>
                <w:color w:val="auto"/>
                <w:sz w:val="20"/>
              </w:rPr>
            </w:pPr>
            <w:bookmarkStart w:id="8" w:name="_Hlk190244137"/>
            <w:r w:rsidRPr="00623EE6">
              <w:rPr>
                <w:color w:val="auto"/>
                <w:sz w:val="20"/>
              </w:rPr>
              <w:t>Training</w:t>
            </w:r>
          </w:p>
        </w:tc>
        <w:tc>
          <w:tcPr>
            <w:tcW w:w="2185" w:type="pct"/>
          </w:tcPr>
          <w:p w14:paraId="27127917" w14:textId="4E7D50FE" w:rsidR="006D4028" w:rsidRPr="00623EE6" w:rsidRDefault="006D4028" w:rsidP="006D4028">
            <w:pPr>
              <w:spacing w:line="259" w:lineRule="auto"/>
              <w:rPr>
                <w:color w:val="auto"/>
                <w:sz w:val="20"/>
              </w:rPr>
            </w:pPr>
            <w:r w:rsidRPr="00623EE6">
              <w:rPr>
                <w:color w:val="auto"/>
                <w:sz w:val="20"/>
              </w:rPr>
              <w:t>The national strategy sets priority areas for local and national delivery.</w:t>
            </w:r>
            <w:r w:rsidR="0079518D" w:rsidRPr="00623EE6">
              <w:rPr>
                <w:color w:val="auto"/>
                <w:sz w:val="20"/>
              </w:rPr>
              <w:t xml:space="preserve"> </w:t>
            </w:r>
            <w:r w:rsidRPr="00623EE6">
              <w:rPr>
                <w:color w:val="auto"/>
                <w:sz w:val="20"/>
              </w:rPr>
              <w:t xml:space="preserve">In order to be fully realised, these priorities require a resourced </w:t>
            </w:r>
            <w:r w:rsidR="00441465" w:rsidRPr="00623EE6">
              <w:rPr>
                <w:color w:val="auto"/>
                <w:sz w:val="20"/>
              </w:rPr>
              <w:t>multi</w:t>
            </w:r>
            <w:r w:rsidR="00992027" w:rsidRPr="00623EE6">
              <w:rPr>
                <w:color w:val="auto"/>
                <w:sz w:val="20"/>
              </w:rPr>
              <w:t>-</w:t>
            </w:r>
            <w:r w:rsidR="00441465" w:rsidRPr="00623EE6">
              <w:rPr>
                <w:color w:val="auto"/>
                <w:sz w:val="20"/>
              </w:rPr>
              <w:t xml:space="preserve">agency </w:t>
            </w:r>
            <w:r w:rsidRPr="00623EE6">
              <w:rPr>
                <w:color w:val="auto"/>
                <w:sz w:val="20"/>
              </w:rPr>
              <w:t xml:space="preserve">workforce equipped with the knowledge and skills </w:t>
            </w:r>
            <w:r w:rsidR="00A4795C" w:rsidRPr="00623EE6">
              <w:rPr>
                <w:color w:val="auto"/>
                <w:sz w:val="20"/>
              </w:rPr>
              <w:t xml:space="preserve">needed </w:t>
            </w:r>
            <w:r w:rsidRPr="00623EE6">
              <w:rPr>
                <w:color w:val="auto"/>
                <w:sz w:val="20"/>
              </w:rPr>
              <w:t>to deliver the required activity.</w:t>
            </w:r>
            <w:r w:rsidR="0079518D" w:rsidRPr="00623EE6">
              <w:rPr>
                <w:color w:val="auto"/>
                <w:sz w:val="20"/>
              </w:rPr>
              <w:t xml:space="preserve"> </w:t>
            </w:r>
            <w:r w:rsidRPr="00623EE6">
              <w:rPr>
                <w:color w:val="auto"/>
                <w:sz w:val="20"/>
              </w:rPr>
              <w:t>This will include the provision of training.</w:t>
            </w:r>
          </w:p>
          <w:p w14:paraId="11776C7A" w14:textId="0ABC26D3" w:rsidR="006D4028" w:rsidRPr="00623EE6" w:rsidRDefault="006D4028" w:rsidP="006D4028">
            <w:pPr>
              <w:rPr>
                <w:color w:val="auto"/>
                <w:sz w:val="20"/>
              </w:rPr>
            </w:pPr>
            <w:r w:rsidRPr="00623EE6">
              <w:rPr>
                <w:color w:val="auto"/>
                <w:sz w:val="20"/>
              </w:rPr>
              <w:t xml:space="preserve"> </w:t>
            </w:r>
          </w:p>
        </w:tc>
        <w:tc>
          <w:tcPr>
            <w:tcW w:w="2105" w:type="pct"/>
          </w:tcPr>
          <w:p w14:paraId="1078052F" w14:textId="7929EF8A" w:rsidR="00D13F28" w:rsidRPr="00623EE6" w:rsidRDefault="009127C4" w:rsidP="00D13F28">
            <w:pPr>
              <w:rPr>
                <w:color w:val="auto"/>
                <w:sz w:val="20"/>
              </w:rPr>
            </w:pPr>
            <w:r w:rsidRPr="00623EE6">
              <w:rPr>
                <w:color w:val="auto"/>
                <w:sz w:val="20"/>
              </w:rPr>
              <w:t>While current</w:t>
            </w:r>
            <w:r w:rsidR="00F145E4" w:rsidRPr="00623EE6">
              <w:rPr>
                <w:color w:val="auto"/>
                <w:sz w:val="20"/>
              </w:rPr>
              <w:t xml:space="preserve"> public spending constraints</w:t>
            </w:r>
            <w:r w:rsidR="00C13B02" w:rsidRPr="00623EE6">
              <w:rPr>
                <w:color w:val="auto"/>
                <w:sz w:val="20"/>
              </w:rPr>
              <w:t xml:space="preserve"> continue to</w:t>
            </w:r>
            <w:r w:rsidR="00F145E4" w:rsidRPr="00623EE6">
              <w:rPr>
                <w:color w:val="auto"/>
                <w:sz w:val="20"/>
              </w:rPr>
              <w:t xml:space="preserve"> </w:t>
            </w:r>
            <w:r w:rsidR="00B6512A" w:rsidRPr="00623EE6">
              <w:rPr>
                <w:color w:val="auto"/>
                <w:sz w:val="20"/>
              </w:rPr>
              <w:t xml:space="preserve">impact </w:t>
            </w:r>
            <w:r w:rsidR="00D166BE" w:rsidRPr="00623EE6">
              <w:rPr>
                <w:color w:val="auto"/>
                <w:sz w:val="20"/>
              </w:rPr>
              <w:t>spending on</w:t>
            </w:r>
            <w:r w:rsidR="00C13B02" w:rsidRPr="00623EE6">
              <w:rPr>
                <w:color w:val="auto"/>
                <w:sz w:val="20"/>
              </w:rPr>
              <w:t xml:space="preserve"> training</w:t>
            </w:r>
            <w:r w:rsidR="005C1FCD" w:rsidRPr="00623EE6">
              <w:rPr>
                <w:color w:val="auto"/>
                <w:sz w:val="20"/>
              </w:rPr>
              <w:t>,</w:t>
            </w:r>
            <w:r w:rsidR="00D166BE" w:rsidRPr="00623EE6">
              <w:rPr>
                <w:color w:val="auto"/>
                <w:sz w:val="20"/>
              </w:rPr>
              <w:t xml:space="preserve"> </w:t>
            </w:r>
            <w:r w:rsidR="00D13F28" w:rsidRPr="00623EE6">
              <w:rPr>
                <w:color w:val="auto"/>
                <w:sz w:val="20"/>
              </w:rPr>
              <w:t xml:space="preserve">CJS </w:t>
            </w:r>
            <w:r w:rsidR="001049E1" w:rsidRPr="00623EE6">
              <w:rPr>
                <w:color w:val="auto"/>
                <w:sz w:val="20"/>
              </w:rPr>
              <w:t xml:space="preserve">and </w:t>
            </w:r>
            <w:r w:rsidR="00D13F28" w:rsidRPr="00623EE6">
              <w:rPr>
                <w:color w:val="auto"/>
                <w:sz w:val="20"/>
              </w:rPr>
              <w:t>local partners</w:t>
            </w:r>
            <w:r w:rsidR="001049E1" w:rsidRPr="00623EE6">
              <w:rPr>
                <w:color w:val="auto"/>
                <w:sz w:val="20"/>
              </w:rPr>
              <w:t xml:space="preserve"> </w:t>
            </w:r>
            <w:r w:rsidR="00E05CE2" w:rsidRPr="00623EE6">
              <w:rPr>
                <w:color w:val="auto"/>
                <w:sz w:val="20"/>
              </w:rPr>
              <w:t xml:space="preserve">should continue to engage </w:t>
            </w:r>
            <w:r w:rsidR="00D13F28" w:rsidRPr="00623EE6">
              <w:rPr>
                <w:color w:val="auto"/>
                <w:sz w:val="20"/>
              </w:rPr>
              <w:t>to ensure training needs are</w:t>
            </w:r>
            <w:r w:rsidR="006961C5" w:rsidRPr="00623EE6">
              <w:rPr>
                <w:color w:val="auto"/>
                <w:sz w:val="20"/>
              </w:rPr>
              <w:t xml:space="preserve"> identified</w:t>
            </w:r>
            <w:r w:rsidR="00D13F28" w:rsidRPr="00623EE6">
              <w:rPr>
                <w:color w:val="auto"/>
                <w:sz w:val="20"/>
              </w:rPr>
              <w:t xml:space="preserve"> and</w:t>
            </w:r>
            <w:r w:rsidR="004E0AE6" w:rsidRPr="00623EE6">
              <w:rPr>
                <w:color w:val="auto"/>
                <w:sz w:val="20"/>
              </w:rPr>
              <w:t xml:space="preserve"> </w:t>
            </w:r>
            <w:r w:rsidRPr="00623EE6">
              <w:rPr>
                <w:color w:val="auto"/>
                <w:sz w:val="20"/>
              </w:rPr>
              <w:t>that delivery</w:t>
            </w:r>
            <w:r w:rsidR="007C298F" w:rsidRPr="00623EE6">
              <w:rPr>
                <w:color w:val="auto"/>
                <w:sz w:val="20"/>
              </w:rPr>
              <w:t xml:space="preserve"> of tr</w:t>
            </w:r>
            <w:r w:rsidR="00683ABA" w:rsidRPr="00623EE6">
              <w:rPr>
                <w:color w:val="auto"/>
                <w:sz w:val="20"/>
              </w:rPr>
              <w:t>aining</w:t>
            </w:r>
            <w:r w:rsidR="00D13F28" w:rsidRPr="00623EE6">
              <w:rPr>
                <w:color w:val="auto"/>
                <w:sz w:val="20"/>
              </w:rPr>
              <w:t xml:space="preserve"> is progressed in the most effective and efficient manner within operational constraints</w:t>
            </w:r>
            <w:r w:rsidR="00441465" w:rsidRPr="00623EE6">
              <w:rPr>
                <w:color w:val="auto"/>
                <w:sz w:val="20"/>
              </w:rPr>
              <w:t>.</w:t>
            </w:r>
            <w:r w:rsidR="00683ABA" w:rsidRPr="00623EE6">
              <w:rPr>
                <w:color w:val="auto"/>
                <w:sz w:val="20"/>
              </w:rPr>
              <w:t xml:space="preserve"> </w:t>
            </w:r>
          </w:p>
          <w:p w14:paraId="676B8CA0" w14:textId="77777777" w:rsidR="00D13F28" w:rsidRPr="00623EE6" w:rsidRDefault="00D13F28" w:rsidP="00D13F28">
            <w:pPr>
              <w:rPr>
                <w:color w:val="auto"/>
                <w:sz w:val="20"/>
              </w:rPr>
            </w:pPr>
          </w:p>
          <w:p w14:paraId="2D894031" w14:textId="23FECAF1" w:rsidR="006D4028" w:rsidRPr="00623EE6" w:rsidRDefault="006D4028" w:rsidP="006D4028">
            <w:pPr>
              <w:rPr>
                <w:color w:val="auto"/>
                <w:sz w:val="20"/>
              </w:rPr>
            </w:pPr>
          </w:p>
        </w:tc>
      </w:tr>
      <w:bookmarkEnd w:id="8"/>
      <w:tr w:rsidR="006D4028" w:rsidRPr="00623EE6" w14:paraId="725F8259" w14:textId="77777777" w:rsidTr="00921084">
        <w:trPr>
          <w:trHeight w:val="3737"/>
        </w:trPr>
        <w:tc>
          <w:tcPr>
            <w:tcW w:w="710" w:type="pct"/>
          </w:tcPr>
          <w:p w14:paraId="40C54BCD" w14:textId="0AB7F40B" w:rsidR="006D4028" w:rsidRPr="00623EE6" w:rsidRDefault="006D4028" w:rsidP="006D4028">
            <w:pPr>
              <w:rPr>
                <w:color w:val="auto"/>
                <w:sz w:val="20"/>
              </w:rPr>
            </w:pPr>
            <w:r w:rsidRPr="00623EE6">
              <w:rPr>
                <w:color w:val="auto"/>
                <w:sz w:val="20"/>
              </w:rPr>
              <w:lastRenderedPageBreak/>
              <w:t xml:space="preserve">Electronic </w:t>
            </w:r>
            <w:r w:rsidR="00E758CF" w:rsidRPr="00623EE6">
              <w:rPr>
                <w:color w:val="auto"/>
                <w:sz w:val="20"/>
              </w:rPr>
              <w:t>m</w:t>
            </w:r>
            <w:r w:rsidRPr="00623EE6">
              <w:rPr>
                <w:color w:val="auto"/>
                <w:sz w:val="20"/>
              </w:rPr>
              <w:t>onitoring</w:t>
            </w:r>
            <w:r w:rsidR="003E7EA4" w:rsidRPr="00623EE6">
              <w:rPr>
                <w:color w:val="auto"/>
                <w:sz w:val="20"/>
              </w:rPr>
              <w:t xml:space="preserve"> (EM)</w:t>
            </w:r>
            <w:r w:rsidRPr="00623EE6">
              <w:rPr>
                <w:color w:val="auto"/>
                <w:sz w:val="20"/>
              </w:rPr>
              <w:t xml:space="preserve"> – implementation and improvement</w:t>
            </w:r>
          </w:p>
        </w:tc>
        <w:tc>
          <w:tcPr>
            <w:tcW w:w="2185" w:type="pct"/>
          </w:tcPr>
          <w:p w14:paraId="320B1F11" w14:textId="45076838" w:rsidR="006D4028" w:rsidRPr="00623EE6" w:rsidRDefault="006D4028" w:rsidP="006D4028">
            <w:pPr>
              <w:spacing w:line="259" w:lineRule="auto"/>
              <w:rPr>
                <w:color w:val="auto"/>
                <w:sz w:val="20"/>
              </w:rPr>
            </w:pPr>
            <w:r w:rsidRPr="00623EE6">
              <w:rPr>
                <w:color w:val="auto"/>
                <w:sz w:val="20"/>
              </w:rPr>
              <w:t xml:space="preserve">There has been significant policy development </w:t>
            </w:r>
            <w:r w:rsidR="00441465" w:rsidRPr="00623EE6">
              <w:rPr>
                <w:color w:val="auto"/>
                <w:sz w:val="20"/>
              </w:rPr>
              <w:t xml:space="preserve">and activity </w:t>
            </w:r>
            <w:r w:rsidRPr="00623EE6">
              <w:rPr>
                <w:color w:val="auto"/>
                <w:sz w:val="20"/>
              </w:rPr>
              <w:t xml:space="preserve">aimed at developing </w:t>
            </w:r>
            <w:r w:rsidR="00441465" w:rsidRPr="00623EE6">
              <w:rPr>
                <w:color w:val="auto"/>
                <w:sz w:val="20"/>
              </w:rPr>
              <w:t xml:space="preserve">and monitoring </w:t>
            </w:r>
            <w:r w:rsidRPr="00623EE6">
              <w:rPr>
                <w:color w:val="auto"/>
                <w:sz w:val="20"/>
              </w:rPr>
              <w:t xml:space="preserve">the use of electronic monitoring in various ways </w:t>
            </w:r>
            <w:r w:rsidR="00A4795C" w:rsidRPr="00623EE6">
              <w:rPr>
                <w:color w:val="auto"/>
                <w:sz w:val="20"/>
              </w:rPr>
              <w:t>to</w:t>
            </w:r>
            <w:r w:rsidRPr="00623EE6">
              <w:rPr>
                <w:color w:val="auto"/>
                <w:sz w:val="20"/>
              </w:rPr>
              <w:t xml:space="preserve"> reduce imprisonment, </w:t>
            </w:r>
            <w:r w:rsidR="003E7EA4" w:rsidRPr="00623EE6">
              <w:rPr>
                <w:color w:val="auto"/>
                <w:sz w:val="20"/>
              </w:rPr>
              <w:t xml:space="preserve">and to </w:t>
            </w:r>
            <w:r w:rsidRPr="00623EE6">
              <w:rPr>
                <w:color w:val="auto"/>
                <w:sz w:val="20"/>
              </w:rPr>
              <w:t xml:space="preserve">enable people to remain in or return to the community while completing their sentences and address the causes of their offending. </w:t>
            </w:r>
          </w:p>
          <w:p w14:paraId="6FB3AE2F" w14:textId="77777777" w:rsidR="006D4028" w:rsidRPr="00623EE6" w:rsidRDefault="006D4028" w:rsidP="006D4028">
            <w:pPr>
              <w:rPr>
                <w:color w:val="auto"/>
                <w:sz w:val="20"/>
              </w:rPr>
            </w:pPr>
          </w:p>
          <w:p w14:paraId="4C9E2DD1" w14:textId="38BD83F2" w:rsidR="00D3295C" w:rsidRPr="00623EE6" w:rsidRDefault="006D4028" w:rsidP="00D13F28">
            <w:pPr>
              <w:spacing w:line="259" w:lineRule="auto"/>
              <w:rPr>
                <w:color w:val="auto"/>
                <w:sz w:val="20"/>
              </w:rPr>
            </w:pPr>
            <w:r w:rsidRPr="00623EE6">
              <w:rPr>
                <w:color w:val="auto"/>
                <w:sz w:val="20"/>
              </w:rPr>
              <w:t>Barriers identified by partners include resource/capacity issues at the point of assessment, access to training, availability of additional support services alongside the use of EM, geographic challenges, and awareness.</w:t>
            </w:r>
            <w:r w:rsidR="00D3295C" w:rsidRPr="00623EE6">
              <w:rPr>
                <w:color w:val="auto"/>
                <w:sz w:val="20"/>
              </w:rPr>
              <w:t xml:space="preserve"> The system that EM operates in needs systemic oversight and a commitment to continuous improvement</w:t>
            </w:r>
            <w:r w:rsidR="00EC553A" w:rsidRPr="00623EE6">
              <w:rPr>
                <w:color w:val="auto"/>
                <w:sz w:val="20"/>
              </w:rPr>
              <w:t>.</w:t>
            </w:r>
          </w:p>
        </w:tc>
        <w:tc>
          <w:tcPr>
            <w:tcW w:w="2105" w:type="pct"/>
          </w:tcPr>
          <w:p w14:paraId="0A081021" w14:textId="04171980" w:rsidR="006D4028" w:rsidRPr="00623EE6" w:rsidRDefault="00064026" w:rsidP="006D4028">
            <w:pPr>
              <w:rPr>
                <w:color w:val="auto"/>
                <w:sz w:val="20"/>
              </w:rPr>
            </w:pPr>
            <w:r w:rsidRPr="00623EE6">
              <w:rPr>
                <w:color w:val="auto"/>
                <w:sz w:val="20"/>
              </w:rPr>
              <w:t xml:space="preserve">The </w:t>
            </w:r>
            <w:r w:rsidR="006D4028" w:rsidRPr="00623EE6">
              <w:rPr>
                <w:color w:val="auto"/>
                <w:sz w:val="20"/>
              </w:rPr>
              <w:t>Scottish Government working with CJS, national community justice partners and local areas shoul</w:t>
            </w:r>
            <w:r w:rsidR="00441465" w:rsidRPr="00623EE6">
              <w:rPr>
                <w:color w:val="auto"/>
                <w:sz w:val="20"/>
              </w:rPr>
              <w:t>d</w:t>
            </w:r>
            <w:r w:rsidR="0079518D" w:rsidRPr="00623EE6">
              <w:rPr>
                <w:color w:val="auto"/>
                <w:sz w:val="20"/>
              </w:rPr>
              <w:t xml:space="preserve"> </w:t>
            </w:r>
            <w:r w:rsidR="00441465" w:rsidRPr="00623EE6">
              <w:rPr>
                <w:color w:val="auto"/>
                <w:sz w:val="20"/>
              </w:rPr>
              <w:t>address the barriers that have already been identified</w:t>
            </w:r>
            <w:r w:rsidR="0079518D" w:rsidRPr="00623EE6">
              <w:rPr>
                <w:color w:val="auto"/>
                <w:sz w:val="20"/>
              </w:rPr>
              <w:t xml:space="preserve"> </w:t>
            </w:r>
            <w:r w:rsidR="00441465" w:rsidRPr="00623EE6">
              <w:rPr>
                <w:color w:val="auto"/>
                <w:sz w:val="20"/>
              </w:rPr>
              <w:t>and implement solutions to maximise the opportunities presented by EM.</w:t>
            </w:r>
          </w:p>
        </w:tc>
      </w:tr>
    </w:tbl>
    <w:p w14:paraId="009BFA2D" w14:textId="77777777" w:rsidR="00190A95" w:rsidRPr="00623EE6" w:rsidRDefault="00190A95" w:rsidP="00190A95">
      <w:pPr>
        <w:rPr>
          <w:color w:val="auto"/>
        </w:rPr>
      </w:pPr>
    </w:p>
    <w:p w14:paraId="7AD93DC0" w14:textId="77777777" w:rsidR="00190A95" w:rsidRPr="00623EE6" w:rsidRDefault="00190A95" w:rsidP="00190A95">
      <w:pPr>
        <w:rPr>
          <w:color w:val="auto"/>
        </w:rPr>
      </w:pPr>
    </w:p>
    <w:p w14:paraId="7B22F1CC" w14:textId="77777777" w:rsidR="00190A95" w:rsidRPr="00623EE6" w:rsidRDefault="00190A95" w:rsidP="00190A95">
      <w:pPr>
        <w:tabs>
          <w:tab w:val="left" w:pos="3254"/>
        </w:tabs>
        <w:rPr>
          <w:color w:val="auto"/>
        </w:rPr>
      </w:pPr>
      <w:r w:rsidRPr="00623EE6">
        <w:rPr>
          <w:color w:val="auto"/>
        </w:rPr>
        <w:tab/>
      </w:r>
    </w:p>
    <w:p w14:paraId="06A31F04" w14:textId="77777777" w:rsidR="00190A95" w:rsidRPr="00623EE6" w:rsidRDefault="00190A95" w:rsidP="00190A95">
      <w:pPr>
        <w:tabs>
          <w:tab w:val="left" w:pos="3254"/>
        </w:tabs>
        <w:rPr>
          <w:color w:val="auto"/>
        </w:rPr>
        <w:sectPr w:rsidR="00190A95" w:rsidRPr="00623EE6" w:rsidSect="00CA3269">
          <w:pgSz w:w="16838" w:h="11906" w:orient="landscape" w:code="9"/>
          <w:pgMar w:top="1440" w:right="1440" w:bottom="1440" w:left="1440" w:header="720" w:footer="720" w:gutter="0"/>
          <w:cols w:space="708"/>
          <w:docGrid w:linePitch="360"/>
        </w:sectPr>
      </w:pPr>
      <w:r w:rsidRPr="00623EE6">
        <w:rPr>
          <w:color w:val="auto"/>
        </w:rPr>
        <w:tab/>
      </w:r>
    </w:p>
    <w:p w14:paraId="0D552397" w14:textId="7E3BE05F" w:rsidR="00CE28B4" w:rsidRPr="00FA0784" w:rsidRDefault="00CE28B4" w:rsidP="00CE28B4">
      <w:pPr>
        <w:rPr>
          <w:b/>
          <w:bCs/>
          <w:i/>
          <w:iCs/>
        </w:rPr>
      </w:pPr>
      <w:r w:rsidRPr="007D00C2">
        <w:lastRenderedPageBreak/>
        <w:t>In our </w:t>
      </w:r>
      <w:r w:rsidRPr="007D00C2">
        <w:rPr>
          <w:b/>
          <w:bCs/>
        </w:rPr>
        <w:t>Outcome Activity Annual Report (OAAR)</w:t>
      </w:r>
      <w:r w:rsidR="007141F1">
        <w:rPr>
          <w:rStyle w:val="FootnoteReference"/>
          <w:b/>
          <w:bCs/>
        </w:rPr>
        <w:footnoteReference w:id="16"/>
      </w:r>
      <w:r w:rsidRPr="007D00C2">
        <w:t> published in </w:t>
      </w:r>
      <w:r w:rsidRPr="007D00C2">
        <w:rPr>
          <w:b/>
          <w:bCs/>
        </w:rPr>
        <w:t>March 2024</w:t>
      </w:r>
      <w:r w:rsidRPr="007D00C2">
        <w:t>, we made a single, but critical, recommendation: that </w:t>
      </w:r>
      <w:r w:rsidRPr="007D00C2">
        <w:rPr>
          <w:b/>
          <w:bCs/>
        </w:rPr>
        <w:t>Community Justice Scotland (CJS), the Scottish Government, and all partners must work together to ensure that community justice services—across both the public and third sectors—receive resourcing that aligns with the policy ambition of the </w:t>
      </w:r>
      <w:r w:rsidRPr="007D00C2">
        <w:rPr>
          <w:b/>
          <w:bCs/>
          <w:i/>
          <w:iCs/>
        </w:rPr>
        <w:t>Vision for Justice in Scotland.</w:t>
      </w:r>
    </w:p>
    <w:p w14:paraId="16431706" w14:textId="77777777" w:rsidR="00CE28B4" w:rsidRDefault="00CE28B4" w:rsidP="00CE28B4">
      <w:r w:rsidRPr="007D00C2">
        <w:t>The Scottish Government committed </w:t>
      </w:r>
      <w:r w:rsidRPr="00FA0784">
        <w:t>additional funding for the financial year 2024-25</w:t>
      </w:r>
      <w:r w:rsidRPr="002642CC">
        <w:t> to support community justice services provided by local authorities</w:t>
      </w:r>
      <w:r w:rsidRPr="007D00C2">
        <w:t xml:space="preserve"> and the third sector. While this funding is welcomed, </w:t>
      </w:r>
      <w:r w:rsidRPr="007D00C2">
        <w:rPr>
          <w:b/>
          <w:bCs/>
        </w:rPr>
        <w:t>resourcing remains a major concern</w:t>
      </w:r>
      <w:r w:rsidRPr="007D00C2">
        <w:t>, as reported by Community Justice Partnerships (CJPs). The </w:t>
      </w:r>
      <w:r w:rsidRPr="007D00C2">
        <w:rPr>
          <w:i/>
          <w:iCs/>
        </w:rPr>
        <w:t>Vision for Justice in Scotland</w:t>
      </w:r>
      <w:r w:rsidRPr="007D00C2">
        <w:t> promotes a shift from custodial sentences to </w:t>
      </w:r>
      <w:r w:rsidRPr="00FA0784">
        <w:t>community-based solutions</w:t>
      </w:r>
      <w:r w:rsidRPr="002642CC">
        <w:t>,</w:t>
      </w:r>
      <w:r w:rsidRPr="007D00C2">
        <w:t xml:space="preserve"> yet the </w:t>
      </w:r>
      <w:r w:rsidRPr="007D00C2">
        <w:rPr>
          <w:b/>
          <w:bCs/>
        </w:rPr>
        <w:t>resources needed to achieve this shift remain inconsistent with policy ambition</w:t>
      </w:r>
      <w:r w:rsidRPr="007D00C2">
        <w:t>.</w:t>
      </w:r>
    </w:p>
    <w:p w14:paraId="26D6F961" w14:textId="77777777" w:rsidR="00CE28B4" w:rsidRPr="007D00C2" w:rsidRDefault="00CE28B4" w:rsidP="00CE28B4">
      <w:pPr>
        <w:spacing w:before="0" w:after="0"/>
      </w:pPr>
    </w:p>
    <w:p w14:paraId="2029BA8F" w14:textId="3C4F9BD9" w:rsidR="00CE28B4" w:rsidRPr="007D00C2" w:rsidRDefault="00CE28B4" w:rsidP="00CE28B4">
      <w:pPr>
        <w:spacing w:before="0" w:after="0"/>
      </w:pPr>
      <w:r w:rsidRPr="007D00C2">
        <w:t>Some local authorities have successfully leveraged resources in line with the </w:t>
      </w:r>
      <w:r w:rsidRPr="00FA0784">
        <w:t>Community Justice (Scotland) Act</w:t>
      </w:r>
      <w:r w:rsidRPr="00352794">
        <w:t>,</w:t>
      </w:r>
      <w:r w:rsidRPr="007D00C2">
        <w:t xml:space="preserve"> reflecting progress towards a </w:t>
      </w:r>
      <w:r w:rsidRPr="007D00C2">
        <w:rPr>
          <w:b/>
          <w:bCs/>
        </w:rPr>
        <w:t>collaborative, partnership-based approach</w:t>
      </w:r>
      <w:r w:rsidRPr="007D00C2">
        <w:t> in community planning. This shift aligns with the principles outlined in the </w:t>
      </w:r>
      <w:r w:rsidRPr="007D00C2">
        <w:rPr>
          <w:b/>
          <w:bCs/>
        </w:rPr>
        <w:t>Christie Commission</w:t>
      </w:r>
      <w:r w:rsidRPr="007D00C2">
        <w:t>.</w:t>
      </w:r>
      <w:r w:rsidR="00C14182">
        <w:rPr>
          <w:rStyle w:val="FootnoteReference"/>
        </w:rPr>
        <w:footnoteReference w:id="17"/>
      </w:r>
    </w:p>
    <w:p w14:paraId="7BE6BBE3" w14:textId="77777777" w:rsidR="00CE28B4" w:rsidRPr="007D00C2" w:rsidRDefault="00CE28B4" w:rsidP="00CE28B4">
      <w:r w:rsidRPr="007D00C2">
        <w:t>However, the </w:t>
      </w:r>
      <w:r w:rsidRPr="007D00C2">
        <w:rPr>
          <w:b/>
          <w:bCs/>
        </w:rPr>
        <w:t>current funding model presents significant challenges</w:t>
      </w:r>
      <w:r w:rsidRPr="007D00C2">
        <w:t>:</w:t>
      </w:r>
    </w:p>
    <w:p w14:paraId="5DC2FFA7" w14:textId="77777777" w:rsidR="00CE28B4" w:rsidRPr="007D00C2" w:rsidRDefault="00CE28B4" w:rsidP="001223CA">
      <w:pPr>
        <w:numPr>
          <w:ilvl w:val="0"/>
          <w:numId w:val="19"/>
        </w:numPr>
        <w:spacing w:before="0" w:after="0" w:line="240" w:lineRule="auto"/>
      </w:pPr>
      <w:r w:rsidRPr="007D00C2">
        <w:rPr>
          <w:b/>
          <w:bCs/>
        </w:rPr>
        <w:t>Complex and short-term funding cycles</w:t>
      </w:r>
      <w:r w:rsidRPr="007D00C2">
        <w:t>: Annual funding structures hinder long-term planning and investment in a stable, skilled workforce.</w:t>
      </w:r>
    </w:p>
    <w:p w14:paraId="1CD6A42E" w14:textId="77777777" w:rsidR="00CE28B4" w:rsidRPr="007D00C2" w:rsidRDefault="00CE28B4" w:rsidP="001223CA">
      <w:pPr>
        <w:numPr>
          <w:ilvl w:val="0"/>
          <w:numId w:val="19"/>
        </w:numPr>
        <w:spacing w:before="0" w:after="0" w:line="240" w:lineRule="auto"/>
      </w:pPr>
      <w:r w:rsidRPr="007D00C2">
        <w:rPr>
          <w:b/>
          <w:bCs/>
        </w:rPr>
        <w:t>Financial pressures on partners</w:t>
      </w:r>
      <w:r w:rsidRPr="007D00C2">
        <w:t>: Third-sector organisations and local Justice Social Work (JSW) services report increasing difficulties in sustaining service delivery.</w:t>
      </w:r>
    </w:p>
    <w:p w14:paraId="71652B82" w14:textId="77777777" w:rsidR="00CE28B4" w:rsidRDefault="00CE28B4" w:rsidP="001223CA">
      <w:pPr>
        <w:numPr>
          <w:ilvl w:val="0"/>
          <w:numId w:val="19"/>
        </w:numPr>
        <w:spacing w:before="0" w:after="0" w:line="240" w:lineRule="auto"/>
      </w:pPr>
      <w:r w:rsidRPr="007D00C2">
        <w:rPr>
          <w:b/>
          <w:bCs/>
        </w:rPr>
        <w:t>Workforce capacity and innovation</w:t>
      </w:r>
      <w:r w:rsidRPr="007D00C2">
        <w:t>: Recruitment, retention, and the ability to deliver services beyond core functions depend on consistent, sufficient resourcing.</w:t>
      </w:r>
    </w:p>
    <w:p w14:paraId="51432046" w14:textId="77777777" w:rsidR="00CE28B4" w:rsidRDefault="00CE28B4" w:rsidP="00CE28B4">
      <w:pPr>
        <w:spacing w:before="0" w:after="0" w:line="240" w:lineRule="auto"/>
        <w:ind w:left="720"/>
      </w:pPr>
    </w:p>
    <w:p w14:paraId="1739F5A0" w14:textId="77777777" w:rsidR="00CE28B4" w:rsidRPr="007D00C2" w:rsidRDefault="00CE28B4" w:rsidP="00CE28B4">
      <w:pPr>
        <w:spacing w:before="0" w:after="0"/>
      </w:pPr>
      <w:r w:rsidRPr="007D00C2">
        <w:t>Given these challenges, </w:t>
      </w:r>
      <w:r w:rsidRPr="007D00C2">
        <w:rPr>
          <w:b/>
          <w:bCs/>
        </w:rPr>
        <w:t>resourcing and funding remain a key recommendation of this report</w:t>
      </w:r>
      <w:r w:rsidRPr="007D00C2">
        <w:t>.</w:t>
      </w:r>
    </w:p>
    <w:p w14:paraId="1EEE0ACD" w14:textId="77777777" w:rsidR="00CC5A89" w:rsidRDefault="00CC5A89">
      <w:pPr>
        <w:spacing w:line="240" w:lineRule="auto"/>
        <w:rPr>
          <w:b/>
          <w:bCs/>
          <w:color w:val="auto"/>
        </w:rPr>
      </w:pPr>
      <w:r>
        <w:rPr>
          <w:b/>
          <w:bCs/>
          <w:color w:val="auto"/>
        </w:rPr>
        <w:br w:type="page"/>
      </w:r>
    </w:p>
    <w:p w14:paraId="2590A696" w14:textId="13BEEF46" w:rsidR="00CE28B4" w:rsidRPr="00623EE6" w:rsidRDefault="00CE28B4" w:rsidP="00CE28B4">
      <w:pPr>
        <w:rPr>
          <w:b/>
          <w:bCs/>
          <w:color w:val="auto"/>
        </w:rPr>
      </w:pPr>
      <w:r w:rsidRPr="00623EE6">
        <w:rPr>
          <w:b/>
          <w:bCs/>
          <w:color w:val="auto"/>
        </w:rPr>
        <w:lastRenderedPageBreak/>
        <w:t>Talking points</w:t>
      </w:r>
    </w:p>
    <w:p w14:paraId="39538975" w14:textId="77777777" w:rsidR="00CE28B4" w:rsidRPr="00623EE6" w:rsidRDefault="00CE28B4" w:rsidP="00CE28B4">
      <w:pPr>
        <w:rPr>
          <w:color w:val="auto"/>
        </w:rPr>
      </w:pPr>
      <w:r w:rsidRPr="00623EE6">
        <w:rPr>
          <w:color w:val="auto"/>
        </w:rPr>
        <w:t xml:space="preserve">We reported last year on three ‘talking points’ which we highlighted as requiring further consideration and action by a range of partners: </w:t>
      </w:r>
    </w:p>
    <w:p w14:paraId="54CD137C" w14:textId="77777777" w:rsidR="00CE28B4" w:rsidRPr="007D00C2" w:rsidRDefault="00CE28B4" w:rsidP="00CE28B4">
      <w:pPr>
        <w:spacing w:before="0" w:after="0"/>
        <w:rPr>
          <w:b/>
          <w:bCs/>
        </w:rPr>
      </w:pPr>
      <w:r w:rsidRPr="007D00C2">
        <w:rPr>
          <w:b/>
          <w:bCs/>
        </w:rPr>
        <w:t>1. National Levers for Local Issues</w:t>
      </w:r>
    </w:p>
    <w:p w14:paraId="5A716EE9" w14:textId="77777777" w:rsidR="00CE28B4" w:rsidRDefault="00CE28B4" w:rsidP="00CE28B4">
      <w:pPr>
        <w:spacing w:before="0" w:after="0"/>
      </w:pPr>
    </w:p>
    <w:p w14:paraId="4CB8CBF1" w14:textId="77777777" w:rsidR="00CE28B4" w:rsidRPr="007D00C2" w:rsidRDefault="00CE28B4" w:rsidP="00CE28B4">
      <w:pPr>
        <w:spacing w:before="0" w:after="0"/>
      </w:pPr>
      <w:r w:rsidRPr="007D00C2">
        <w:t>Our 2023 report raised concerns about </w:t>
      </w:r>
      <w:r w:rsidRPr="007D00C2">
        <w:rPr>
          <w:b/>
          <w:bCs/>
        </w:rPr>
        <w:t>nationally set policies creating challenges at the local level</w:t>
      </w:r>
      <w:r w:rsidRPr="007D00C2">
        <w:t xml:space="preserve">. </w:t>
      </w:r>
      <w:r w:rsidRPr="00284CF1">
        <w:t>We asked how </w:t>
      </w:r>
      <w:r w:rsidRPr="00FA0784">
        <w:t>the Scottish Government, CJS, and national agencies</w:t>
      </w:r>
      <w:r w:rsidRPr="00284CF1">
        <w:t xml:space="preserve"> could </w:t>
      </w:r>
      <w:r w:rsidRPr="007D00C2">
        <w:t>better collaborate with local partners to address barriers while maintaining local autonomy.</w:t>
      </w:r>
    </w:p>
    <w:p w14:paraId="6874BA95" w14:textId="77777777" w:rsidR="00CE28B4" w:rsidRDefault="00CE28B4" w:rsidP="00CE28B4">
      <w:pPr>
        <w:spacing w:before="0" w:after="0"/>
      </w:pPr>
    </w:p>
    <w:p w14:paraId="6126E4C2" w14:textId="77777777" w:rsidR="00CE28B4" w:rsidRPr="007D00C2" w:rsidRDefault="00CE28B4" w:rsidP="00CE28B4">
      <w:pPr>
        <w:spacing w:before="0" w:after="0"/>
      </w:pPr>
      <w:r w:rsidRPr="007D00C2">
        <w:t xml:space="preserve">In response, </w:t>
      </w:r>
      <w:r w:rsidRPr="00284CF1">
        <w:t>several </w:t>
      </w:r>
      <w:r w:rsidRPr="00FA0784">
        <w:t>task-focused working groups</w:t>
      </w:r>
      <w:r w:rsidRPr="00284CF1">
        <w:t> were initiated in 2023-24. These were proposed by the </w:t>
      </w:r>
      <w:r w:rsidRPr="00FA0784">
        <w:t>Scottish Government</w:t>
      </w:r>
      <w:r w:rsidRPr="00284CF1">
        <w:t>, engaging</w:t>
      </w:r>
      <w:r w:rsidRPr="007D00C2">
        <w:t xml:space="preserve"> local authorities and other partners to improve local involvement in national decisions, such as </w:t>
      </w:r>
      <w:r w:rsidRPr="007D00C2">
        <w:rPr>
          <w:b/>
          <w:bCs/>
        </w:rPr>
        <w:t>early prisoner release</w:t>
      </w:r>
      <w:r w:rsidRPr="007D00C2">
        <w:t>.</w:t>
      </w:r>
    </w:p>
    <w:p w14:paraId="2C22BF45" w14:textId="77777777" w:rsidR="00CE28B4" w:rsidRDefault="00CE28B4" w:rsidP="00CE28B4">
      <w:pPr>
        <w:spacing w:before="0" w:after="0"/>
      </w:pPr>
      <w:r w:rsidRPr="007D00C2">
        <w:t xml:space="preserve">CJS </w:t>
      </w:r>
      <w:r>
        <w:t xml:space="preserve">continued </w:t>
      </w:r>
      <w:r w:rsidRPr="007D00C2">
        <w:t>work to </w:t>
      </w:r>
      <w:r w:rsidRPr="007D00C2">
        <w:rPr>
          <w:b/>
          <w:bCs/>
        </w:rPr>
        <w:t>enhance the sharing of national data</w:t>
      </w:r>
      <w:r w:rsidRPr="007D00C2">
        <w:t> to support local justice outcomes. Key initiatives included:</w:t>
      </w:r>
    </w:p>
    <w:p w14:paraId="4C1076E8" w14:textId="77777777" w:rsidR="00CE28B4" w:rsidRPr="007D00C2" w:rsidRDefault="00CE28B4" w:rsidP="00CE28B4">
      <w:pPr>
        <w:spacing w:before="0" w:after="0"/>
      </w:pPr>
    </w:p>
    <w:p w14:paraId="2EAE8F01" w14:textId="77777777" w:rsidR="00CE28B4" w:rsidRPr="007D00C2" w:rsidRDefault="00CE28B4" w:rsidP="001223CA">
      <w:pPr>
        <w:numPr>
          <w:ilvl w:val="0"/>
          <w:numId w:val="20"/>
        </w:numPr>
        <w:spacing w:before="0" w:after="0" w:line="240" w:lineRule="auto"/>
      </w:pPr>
      <w:r w:rsidRPr="007D00C2">
        <w:rPr>
          <w:b/>
          <w:bCs/>
        </w:rPr>
        <w:t>A workshop on national indicators</w:t>
      </w:r>
      <w:r w:rsidRPr="007D00C2">
        <w:t> (October 2024), inviting all CJPs to explore local improvements.</w:t>
      </w:r>
    </w:p>
    <w:p w14:paraId="79B0E257" w14:textId="77777777" w:rsidR="00CE28B4" w:rsidRPr="007D00C2" w:rsidRDefault="00CE28B4" w:rsidP="001223CA">
      <w:pPr>
        <w:numPr>
          <w:ilvl w:val="0"/>
          <w:numId w:val="20"/>
        </w:numPr>
        <w:spacing w:before="0" w:after="0" w:line="240" w:lineRule="auto"/>
      </w:pPr>
      <w:r w:rsidRPr="007D00C2">
        <w:rPr>
          <w:b/>
          <w:bCs/>
        </w:rPr>
        <w:t>Bespoke local performance reports</w:t>
      </w:r>
      <w:r w:rsidRPr="007D00C2">
        <w:t>, providing each CJP with data on their progress toward national outcomes. These reports were widely welcomed, and CJS will continue to update them annually.</w:t>
      </w:r>
    </w:p>
    <w:p w14:paraId="11E820AA" w14:textId="77777777" w:rsidR="00CE28B4" w:rsidRDefault="00CE28B4" w:rsidP="00CE28B4">
      <w:pPr>
        <w:spacing w:before="0" w:after="0"/>
      </w:pPr>
    </w:p>
    <w:p w14:paraId="1139D361" w14:textId="77777777" w:rsidR="00CE28B4" w:rsidRDefault="00CE28B4" w:rsidP="00CE28B4">
      <w:pPr>
        <w:spacing w:before="0" w:after="0"/>
      </w:pPr>
      <w:r w:rsidRPr="007D00C2">
        <w:t>However, CJPs have </w:t>
      </w:r>
      <w:r w:rsidRPr="007D00C2">
        <w:rPr>
          <w:b/>
          <w:bCs/>
        </w:rPr>
        <w:t>consistently emphasi</w:t>
      </w:r>
      <w:r>
        <w:rPr>
          <w:b/>
          <w:bCs/>
        </w:rPr>
        <w:t>s</w:t>
      </w:r>
      <w:r w:rsidRPr="007D00C2">
        <w:rPr>
          <w:b/>
          <w:bCs/>
        </w:rPr>
        <w:t>ed</w:t>
      </w:r>
      <w:r w:rsidRPr="007D00C2">
        <w:t> that national partners must </w:t>
      </w:r>
      <w:r w:rsidRPr="007D00C2">
        <w:rPr>
          <w:b/>
          <w:bCs/>
        </w:rPr>
        <w:t>engage meaningfully</w:t>
      </w:r>
      <w:r w:rsidRPr="007D00C2">
        <w:t> with local areas when introducing centralization or efficiency measures in justice processes. This includes:</w:t>
      </w:r>
    </w:p>
    <w:p w14:paraId="726EFDDC" w14:textId="77777777" w:rsidR="00CE28B4" w:rsidRPr="007D00C2" w:rsidRDefault="00CE28B4" w:rsidP="00CE28B4">
      <w:pPr>
        <w:spacing w:before="0" w:after="0"/>
      </w:pPr>
    </w:p>
    <w:p w14:paraId="270DE805" w14:textId="77777777" w:rsidR="00CE28B4" w:rsidRPr="00E542BA" w:rsidRDefault="00CE28B4" w:rsidP="001223CA">
      <w:pPr>
        <w:numPr>
          <w:ilvl w:val="0"/>
          <w:numId w:val="21"/>
        </w:numPr>
        <w:spacing w:before="0" w:after="0" w:line="240" w:lineRule="auto"/>
      </w:pPr>
      <w:r w:rsidRPr="00FA0784">
        <w:t xml:space="preserve">Ensuring </w:t>
      </w:r>
      <w:r w:rsidRPr="00CE28B4">
        <w:rPr>
          <w:b/>
          <w:bCs/>
        </w:rPr>
        <w:t>early consultation</w:t>
      </w:r>
      <w:r w:rsidRPr="00FA0784">
        <w:t xml:space="preserve"> with CJPs</w:t>
      </w:r>
      <w:r w:rsidRPr="00E542BA">
        <w:t> on national initiatives to assess local impacts.</w:t>
      </w:r>
    </w:p>
    <w:p w14:paraId="5B8ACE79" w14:textId="77777777" w:rsidR="00CE28B4" w:rsidRPr="00E542BA" w:rsidRDefault="00CE28B4" w:rsidP="001223CA">
      <w:pPr>
        <w:numPr>
          <w:ilvl w:val="0"/>
          <w:numId w:val="21"/>
        </w:numPr>
        <w:spacing w:before="0" w:after="0" w:line="240" w:lineRule="auto"/>
      </w:pPr>
      <w:r w:rsidRPr="00CE28B4">
        <w:rPr>
          <w:b/>
          <w:bCs/>
        </w:rPr>
        <w:t>Improving communication</w:t>
      </w:r>
      <w:r w:rsidRPr="00FA0784">
        <w:t xml:space="preserve"> routes</w:t>
      </w:r>
      <w:r w:rsidRPr="00E542BA">
        <w:t> between national bodies and local services to ensure clarity on decisions affecting justice operations.</w:t>
      </w:r>
    </w:p>
    <w:p w14:paraId="771FDCCF" w14:textId="77777777" w:rsidR="00CE28B4" w:rsidRPr="007D00C2" w:rsidRDefault="00CE28B4" w:rsidP="00CE28B4">
      <w:pPr>
        <w:spacing w:before="0" w:after="0" w:line="240" w:lineRule="auto"/>
        <w:ind w:left="720"/>
      </w:pPr>
    </w:p>
    <w:p w14:paraId="1C66DDC6" w14:textId="77777777" w:rsidR="00CE28B4" w:rsidRPr="007D00C2" w:rsidRDefault="00CE28B4" w:rsidP="00CE28B4">
      <w:pPr>
        <w:spacing w:before="0" w:after="0"/>
      </w:pPr>
      <w:r w:rsidRPr="007D00C2">
        <w:t>Specific concerns raised include:</w:t>
      </w:r>
    </w:p>
    <w:p w14:paraId="3156B00D" w14:textId="77777777" w:rsidR="00CE28B4" w:rsidRPr="00CE28B4" w:rsidRDefault="00CE28B4" w:rsidP="001223CA">
      <w:pPr>
        <w:numPr>
          <w:ilvl w:val="0"/>
          <w:numId w:val="22"/>
        </w:numPr>
        <w:spacing w:before="0" w:after="0" w:line="240" w:lineRule="auto"/>
        <w:rPr>
          <w:b/>
          <w:bCs/>
        </w:rPr>
      </w:pPr>
      <w:r w:rsidRPr="00CE28B4">
        <w:rPr>
          <w:b/>
          <w:bCs/>
        </w:rPr>
        <w:t>The use of out-of-area police custody suites.</w:t>
      </w:r>
    </w:p>
    <w:p w14:paraId="65ACA243" w14:textId="77777777" w:rsidR="00CE28B4" w:rsidRPr="00CE28B4" w:rsidRDefault="00CE28B4" w:rsidP="001223CA">
      <w:pPr>
        <w:numPr>
          <w:ilvl w:val="0"/>
          <w:numId w:val="22"/>
        </w:numPr>
        <w:spacing w:before="0" w:after="0" w:line="240" w:lineRule="auto"/>
        <w:rPr>
          <w:b/>
          <w:bCs/>
        </w:rPr>
      </w:pPr>
      <w:r w:rsidRPr="00CE28B4">
        <w:rPr>
          <w:b/>
          <w:bCs/>
        </w:rPr>
        <w:t>The centralisation of court business.</w:t>
      </w:r>
    </w:p>
    <w:p w14:paraId="2AD9BF61" w14:textId="77777777" w:rsidR="00CE28B4" w:rsidRPr="00CE28B4" w:rsidRDefault="00CE28B4" w:rsidP="001223CA">
      <w:pPr>
        <w:numPr>
          <w:ilvl w:val="0"/>
          <w:numId w:val="22"/>
        </w:numPr>
        <w:spacing w:before="0" w:after="0" w:line="240" w:lineRule="auto"/>
        <w:rPr>
          <w:b/>
          <w:bCs/>
        </w:rPr>
      </w:pPr>
      <w:r w:rsidRPr="00CE28B4">
        <w:rPr>
          <w:b/>
          <w:bCs/>
        </w:rPr>
        <w:t>The continued central marking of cases by the Crown Office and Procurator Fiscal Service (COPFS).</w:t>
      </w:r>
    </w:p>
    <w:p w14:paraId="7E8FBA4F" w14:textId="77777777" w:rsidR="00CE28B4" w:rsidRDefault="00CE28B4" w:rsidP="00CE28B4">
      <w:pPr>
        <w:rPr>
          <w:color w:val="auto"/>
        </w:rPr>
      </w:pPr>
    </w:p>
    <w:p w14:paraId="6AEB733D" w14:textId="77777777" w:rsidR="00CE28B4" w:rsidRPr="007D00C2" w:rsidRDefault="00CE28B4" w:rsidP="00CE28B4">
      <w:pPr>
        <w:spacing w:before="0" w:after="0"/>
        <w:rPr>
          <w:b/>
          <w:bCs/>
        </w:rPr>
      </w:pPr>
      <w:r w:rsidRPr="007D00C2">
        <w:rPr>
          <w:b/>
          <w:bCs/>
        </w:rPr>
        <w:t>2. Equality in the Justice System</w:t>
      </w:r>
    </w:p>
    <w:p w14:paraId="65B0E5D1" w14:textId="77777777" w:rsidR="00CE28B4" w:rsidRDefault="00CE28B4" w:rsidP="00CE28B4">
      <w:pPr>
        <w:spacing w:before="0" w:after="0"/>
      </w:pPr>
      <w:r w:rsidRPr="007D00C2">
        <w:lastRenderedPageBreak/>
        <w:t>Our previous report identified </w:t>
      </w:r>
      <w:r w:rsidRPr="007D00C2">
        <w:rPr>
          <w:b/>
          <w:bCs/>
        </w:rPr>
        <w:t>gaps in strategic consideration</w:t>
      </w:r>
      <w:r w:rsidRPr="007D00C2">
        <w:t> for justice-involved individuals outside of </w:t>
      </w:r>
      <w:r w:rsidRPr="007D00C2">
        <w:rPr>
          <w:b/>
          <w:bCs/>
        </w:rPr>
        <w:t>women and young people</w:t>
      </w:r>
      <w:r w:rsidRPr="007D00C2">
        <w:t>, particularly in cases where multiple aspects of identity (e.g., </w:t>
      </w:r>
      <w:r w:rsidRPr="00FA0784">
        <w:t>age, disability, race, sex, religion, sexual orientation</w:t>
      </w:r>
      <w:r w:rsidRPr="007D00C2">
        <w:t>) intersect, leading to </w:t>
      </w:r>
      <w:r w:rsidRPr="007D00C2">
        <w:rPr>
          <w:b/>
          <w:bCs/>
        </w:rPr>
        <w:t>greater complexity and marginali</w:t>
      </w:r>
      <w:r>
        <w:rPr>
          <w:b/>
          <w:bCs/>
        </w:rPr>
        <w:t>s</w:t>
      </w:r>
      <w:r w:rsidRPr="007D00C2">
        <w:rPr>
          <w:b/>
          <w:bCs/>
        </w:rPr>
        <w:t>ation</w:t>
      </w:r>
      <w:r w:rsidRPr="007D00C2">
        <w:t>.</w:t>
      </w:r>
    </w:p>
    <w:p w14:paraId="4E6D6A1A" w14:textId="77777777" w:rsidR="00CE28B4" w:rsidRPr="007D00C2" w:rsidRDefault="00CE28B4" w:rsidP="00CE28B4">
      <w:pPr>
        <w:spacing w:before="0" w:after="0"/>
      </w:pPr>
    </w:p>
    <w:p w14:paraId="568C45DB" w14:textId="77777777" w:rsidR="00CE28B4" w:rsidRPr="007D00C2" w:rsidRDefault="00CE28B4" w:rsidP="00CE28B4">
      <w:pPr>
        <w:spacing w:before="0" w:after="0"/>
      </w:pPr>
      <w:r w:rsidRPr="007D00C2">
        <w:t>Local and national partners were asked how they could </w:t>
      </w:r>
      <w:r w:rsidRPr="007D00C2">
        <w:rPr>
          <w:b/>
          <w:bCs/>
        </w:rPr>
        <w:t>actively promote equality in justice</w:t>
      </w:r>
      <w:r w:rsidRPr="007D00C2">
        <w:t> for individuals with diverse and complex needs.</w:t>
      </w:r>
    </w:p>
    <w:p w14:paraId="5E60B74D" w14:textId="77777777" w:rsidR="00CE28B4" w:rsidRDefault="00CE28B4" w:rsidP="00CE28B4">
      <w:pPr>
        <w:spacing w:before="0" w:after="0"/>
      </w:pPr>
    </w:p>
    <w:p w14:paraId="3F64EF85" w14:textId="77777777" w:rsidR="00CE28B4" w:rsidRPr="007D00C2" w:rsidRDefault="00CE28B4" w:rsidP="00CE28B4">
      <w:pPr>
        <w:spacing w:before="0" w:after="0"/>
      </w:pPr>
      <w:r w:rsidRPr="007D00C2">
        <w:t>In response:</w:t>
      </w:r>
    </w:p>
    <w:p w14:paraId="1E45A666" w14:textId="77777777" w:rsidR="00CE28B4" w:rsidRPr="007D00C2" w:rsidRDefault="00CE28B4" w:rsidP="001223CA">
      <w:pPr>
        <w:numPr>
          <w:ilvl w:val="0"/>
          <w:numId w:val="24"/>
        </w:numPr>
        <w:spacing w:before="0" w:after="0" w:line="240" w:lineRule="auto"/>
      </w:pPr>
      <w:r w:rsidRPr="007D00C2">
        <w:rPr>
          <w:b/>
          <w:bCs/>
        </w:rPr>
        <w:t>Justice Social Work (JSW) and third-sector partners</w:t>
      </w:r>
      <w:r w:rsidRPr="007D00C2">
        <w:t> have highlighted the increasing complexity of cases, demonstrating the need for </w:t>
      </w:r>
      <w:r w:rsidRPr="007D00C2">
        <w:rPr>
          <w:b/>
          <w:bCs/>
        </w:rPr>
        <w:t>new, tailored responses</w:t>
      </w:r>
      <w:r w:rsidRPr="007D00C2">
        <w:t>.</w:t>
      </w:r>
    </w:p>
    <w:p w14:paraId="710D4BCD" w14:textId="77777777" w:rsidR="00CE28B4" w:rsidRPr="007D00C2" w:rsidRDefault="00CE28B4" w:rsidP="001223CA">
      <w:pPr>
        <w:numPr>
          <w:ilvl w:val="0"/>
          <w:numId w:val="24"/>
        </w:numPr>
        <w:spacing w:before="0" w:after="0" w:line="240" w:lineRule="auto"/>
      </w:pPr>
      <w:r w:rsidRPr="007D00C2">
        <w:t>In </w:t>
      </w:r>
      <w:r w:rsidRPr="007D00C2">
        <w:rPr>
          <w:b/>
          <w:bCs/>
        </w:rPr>
        <w:t>October 2024</w:t>
      </w:r>
      <w:r w:rsidRPr="007D00C2">
        <w:t>, CJS and </w:t>
      </w:r>
      <w:r w:rsidRPr="007D00C2">
        <w:rPr>
          <w:b/>
          <w:bCs/>
        </w:rPr>
        <w:t>COSLA elected members</w:t>
      </w:r>
      <w:r w:rsidRPr="007D00C2">
        <w:t> partnered with the </w:t>
      </w:r>
      <w:r w:rsidRPr="007D00C2">
        <w:rPr>
          <w:b/>
          <w:bCs/>
        </w:rPr>
        <w:t>Supporting Offenders with Learning Difficulties (SOLD) network</w:t>
      </w:r>
      <w:r w:rsidRPr="007D00C2">
        <w:t> and the </w:t>
      </w:r>
      <w:r w:rsidRPr="007D00C2">
        <w:rPr>
          <w:b/>
          <w:bCs/>
        </w:rPr>
        <w:t>Association of Local Authority Chief Housing Officers (ALACHO)</w:t>
      </w:r>
      <w:r w:rsidRPr="007D00C2">
        <w:t> to discuss the support needs of individuals leaving the justice system, particularly those with </w:t>
      </w:r>
      <w:r w:rsidRPr="007D00C2">
        <w:rPr>
          <w:b/>
          <w:bCs/>
        </w:rPr>
        <w:t>learning disabilities</w:t>
      </w:r>
      <w:r w:rsidRPr="007D00C2">
        <w:t>.</w:t>
      </w:r>
    </w:p>
    <w:p w14:paraId="2621F2E2" w14:textId="77777777" w:rsidR="00CE28B4" w:rsidRDefault="00CE28B4" w:rsidP="001223CA">
      <w:pPr>
        <w:numPr>
          <w:ilvl w:val="0"/>
          <w:numId w:val="24"/>
        </w:numPr>
        <w:spacing w:before="0" w:after="0" w:line="240" w:lineRule="auto"/>
      </w:pPr>
      <w:r w:rsidRPr="007D00C2">
        <w:t>Discussions also addressed the </w:t>
      </w:r>
      <w:r w:rsidRPr="007D00C2">
        <w:rPr>
          <w:b/>
          <w:bCs/>
        </w:rPr>
        <w:t>impact of national policies</w:t>
      </w:r>
      <w:r w:rsidRPr="007D00C2">
        <w:t> (e.g., </w:t>
      </w:r>
      <w:r w:rsidRPr="007D00C2">
        <w:rPr>
          <w:b/>
          <w:bCs/>
        </w:rPr>
        <w:t>early prisoner release</w:t>
      </w:r>
      <w:r w:rsidRPr="007D00C2">
        <w:t>) on </w:t>
      </w:r>
      <w:r w:rsidRPr="007D00C2">
        <w:rPr>
          <w:b/>
          <w:bCs/>
        </w:rPr>
        <w:t>local housing capacity</w:t>
      </w:r>
      <w:r w:rsidRPr="007D00C2">
        <w:t>.</w:t>
      </w:r>
    </w:p>
    <w:p w14:paraId="7F6F81DE" w14:textId="77777777" w:rsidR="00CE28B4" w:rsidRPr="007D00C2" w:rsidRDefault="00CE28B4" w:rsidP="00A60FED">
      <w:pPr>
        <w:spacing w:before="0" w:after="0" w:line="240" w:lineRule="auto"/>
        <w:ind w:left="720"/>
      </w:pPr>
    </w:p>
    <w:p w14:paraId="73D62392" w14:textId="77777777" w:rsidR="00CE28B4" w:rsidRPr="007D00C2" w:rsidRDefault="00CE28B4" w:rsidP="00CE28B4">
      <w:pPr>
        <w:spacing w:before="0" w:after="0"/>
      </w:pPr>
      <w:r w:rsidRPr="007D00C2">
        <w:t>Further engagement is necessary as the </w:t>
      </w:r>
      <w:r w:rsidRPr="007D00C2">
        <w:rPr>
          <w:b/>
          <w:bCs/>
        </w:rPr>
        <w:t>Learning Disabilities, Autism, and Neurodivergence (Scotland) Bill</w:t>
      </w:r>
      <w:r w:rsidRPr="007D00C2">
        <w:t> progresses through Parliament. The Scottish Government and CJS will continue working with CJPs to </w:t>
      </w:r>
      <w:r w:rsidRPr="007D00C2">
        <w:rPr>
          <w:b/>
          <w:bCs/>
        </w:rPr>
        <w:t>assess and communicate the implications</w:t>
      </w:r>
      <w:r w:rsidRPr="007D00C2">
        <w:t> of this legislation.</w:t>
      </w:r>
    </w:p>
    <w:p w14:paraId="791F970A" w14:textId="77777777" w:rsidR="00CE28B4" w:rsidRPr="00623EE6" w:rsidRDefault="00000000" w:rsidP="00CE28B4">
      <w:pPr>
        <w:rPr>
          <w:color w:val="auto"/>
        </w:rPr>
      </w:pPr>
      <w:r>
        <w:pict w14:anchorId="6B21DE2C">
          <v:rect id="_x0000_i1025" style="width:468pt;height:1pt" o:hralign="center" o:hrstd="t" o:hr="t" fillcolor="#a0a0a0" stroked="f"/>
        </w:pict>
      </w:r>
    </w:p>
    <w:p w14:paraId="4BF25657" w14:textId="77777777" w:rsidR="00CE28B4" w:rsidRDefault="00CE28B4" w:rsidP="00CE28B4">
      <w:pPr>
        <w:spacing w:before="0" w:after="0"/>
        <w:rPr>
          <w:color w:val="auto"/>
        </w:rPr>
      </w:pPr>
      <w:r w:rsidRPr="00623EE6">
        <w:rPr>
          <w:b/>
          <w:bCs/>
          <w:color w:val="auto"/>
        </w:rPr>
        <w:t>3. Scope and synergy</w:t>
      </w:r>
      <w:r w:rsidRPr="00623EE6">
        <w:rPr>
          <w:color w:val="auto"/>
        </w:rPr>
        <w:t xml:space="preserve"> </w:t>
      </w:r>
    </w:p>
    <w:p w14:paraId="2AE71D40" w14:textId="77777777" w:rsidR="00CE28B4" w:rsidRDefault="00CE28B4" w:rsidP="00CE28B4">
      <w:pPr>
        <w:spacing w:before="0" w:after="0"/>
        <w:rPr>
          <w:color w:val="auto"/>
        </w:rPr>
      </w:pPr>
    </w:p>
    <w:p w14:paraId="7F59EB53" w14:textId="77777777" w:rsidR="00CE28B4" w:rsidRPr="007D00C2" w:rsidRDefault="00CE28B4" w:rsidP="00CE28B4">
      <w:pPr>
        <w:spacing w:before="0" w:after="0"/>
        <w:rPr>
          <w:b/>
          <w:bCs/>
        </w:rPr>
      </w:pPr>
      <w:r w:rsidRPr="007D00C2">
        <w:rPr>
          <w:b/>
          <w:bCs/>
        </w:rPr>
        <w:t>Aligning Policy for Greater Impact</w:t>
      </w:r>
    </w:p>
    <w:p w14:paraId="37A5CF81" w14:textId="77777777" w:rsidR="00CE28B4" w:rsidRPr="007D00C2" w:rsidRDefault="00CE28B4" w:rsidP="00CE28B4">
      <w:pPr>
        <w:spacing w:before="0" w:after="0"/>
      </w:pPr>
      <w:r w:rsidRPr="007D00C2">
        <w:t>Community justice outcomes are influenced by </w:t>
      </w:r>
      <w:r w:rsidRPr="007D00C2">
        <w:rPr>
          <w:b/>
          <w:bCs/>
        </w:rPr>
        <w:t>wider societal factors</w:t>
      </w:r>
      <w:r w:rsidRPr="007D00C2">
        <w:t>, including:</w:t>
      </w:r>
    </w:p>
    <w:p w14:paraId="6F16678B" w14:textId="77777777" w:rsidR="00CE28B4" w:rsidRPr="000B0DA6" w:rsidRDefault="00CE28B4" w:rsidP="001223CA">
      <w:pPr>
        <w:numPr>
          <w:ilvl w:val="0"/>
          <w:numId w:val="23"/>
        </w:numPr>
        <w:spacing w:before="0" w:after="0" w:line="240" w:lineRule="auto"/>
      </w:pPr>
      <w:r w:rsidRPr="00FA0784">
        <w:t>Community safety</w:t>
      </w:r>
    </w:p>
    <w:p w14:paraId="498F3DFA" w14:textId="77777777" w:rsidR="00CE28B4" w:rsidRPr="000B0DA6" w:rsidRDefault="00CE28B4" w:rsidP="001223CA">
      <w:pPr>
        <w:numPr>
          <w:ilvl w:val="0"/>
          <w:numId w:val="23"/>
        </w:numPr>
        <w:spacing w:before="0" w:after="0" w:line="240" w:lineRule="auto"/>
      </w:pPr>
      <w:r w:rsidRPr="00FA0784">
        <w:t>Violence against women and girls</w:t>
      </w:r>
    </w:p>
    <w:p w14:paraId="17496AAD" w14:textId="77777777" w:rsidR="00CE28B4" w:rsidRPr="000B0DA6" w:rsidRDefault="00CE28B4" w:rsidP="001223CA">
      <w:pPr>
        <w:numPr>
          <w:ilvl w:val="0"/>
          <w:numId w:val="23"/>
        </w:numPr>
        <w:spacing w:before="0" w:after="0" w:line="240" w:lineRule="auto"/>
      </w:pPr>
      <w:r w:rsidRPr="00FA0784">
        <w:t>Substance use</w:t>
      </w:r>
      <w:r w:rsidRPr="000B0DA6">
        <w:t> (alcohol and drugs)</w:t>
      </w:r>
    </w:p>
    <w:p w14:paraId="768E33EE" w14:textId="77777777" w:rsidR="00CE28B4" w:rsidRPr="000B0DA6" w:rsidRDefault="00CE28B4" w:rsidP="001223CA">
      <w:pPr>
        <w:numPr>
          <w:ilvl w:val="0"/>
          <w:numId w:val="23"/>
        </w:numPr>
        <w:spacing w:before="0" w:after="0" w:line="240" w:lineRule="auto"/>
      </w:pPr>
      <w:r w:rsidRPr="00FA0784">
        <w:t>Employability and poverty</w:t>
      </w:r>
    </w:p>
    <w:p w14:paraId="486B1D6F" w14:textId="77777777" w:rsidR="00CE28B4" w:rsidRPr="000B0DA6" w:rsidRDefault="00CE28B4" w:rsidP="001223CA">
      <w:pPr>
        <w:numPr>
          <w:ilvl w:val="0"/>
          <w:numId w:val="23"/>
        </w:numPr>
        <w:spacing w:before="0" w:after="0" w:line="240" w:lineRule="auto"/>
      </w:pPr>
      <w:r w:rsidRPr="00FA0784">
        <w:t>Homelessness and housing</w:t>
      </w:r>
    </w:p>
    <w:p w14:paraId="5054FB6C" w14:textId="77777777" w:rsidR="00CE28B4" w:rsidRDefault="00CE28B4" w:rsidP="001223CA">
      <w:pPr>
        <w:numPr>
          <w:ilvl w:val="0"/>
          <w:numId w:val="23"/>
        </w:numPr>
        <w:spacing w:before="0" w:after="0" w:line="240" w:lineRule="auto"/>
      </w:pPr>
      <w:r w:rsidRPr="00FA0784">
        <w:t>Health inequalities and education</w:t>
      </w:r>
    </w:p>
    <w:p w14:paraId="673E3EBD" w14:textId="77777777" w:rsidR="00CE28B4" w:rsidRPr="000B0DA6" w:rsidRDefault="00CE28B4" w:rsidP="00CE28B4">
      <w:pPr>
        <w:spacing w:before="0" w:after="0" w:line="240" w:lineRule="auto"/>
        <w:ind w:left="720"/>
      </w:pPr>
    </w:p>
    <w:p w14:paraId="59F9D710" w14:textId="71D69E3C" w:rsidR="00CE28B4" w:rsidRPr="007D00C2" w:rsidRDefault="00CE28B4" w:rsidP="00CE28B4">
      <w:pPr>
        <w:spacing w:before="0" w:after="0"/>
      </w:pPr>
      <w:r w:rsidRPr="007D00C2">
        <w:t>Last year, we asked how partners could better </w:t>
      </w:r>
      <w:r w:rsidRPr="007D00C2">
        <w:rPr>
          <w:b/>
          <w:bCs/>
        </w:rPr>
        <w:t>align efforts across policy areas</w:t>
      </w:r>
      <w:r w:rsidRPr="007D00C2">
        <w:t> to </w:t>
      </w:r>
      <w:r w:rsidRPr="007D00C2">
        <w:rPr>
          <w:b/>
          <w:bCs/>
        </w:rPr>
        <w:t>maximi</w:t>
      </w:r>
      <w:r w:rsidR="00A60FED">
        <w:rPr>
          <w:b/>
          <w:bCs/>
        </w:rPr>
        <w:t>s</w:t>
      </w:r>
      <w:r w:rsidRPr="007D00C2">
        <w:rPr>
          <w:b/>
          <w:bCs/>
        </w:rPr>
        <w:t>e impact</w:t>
      </w:r>
      <w:r w:rsidRPr="007D00C2">
        <w:t> while maintaining a clear focus on community justice.</w:t>
      </w:r>
    </w:p>
    <w:p w14:paraId="60BC6B0F" w14:textId="77777777" w:rsidR="00CE28B4" w:rsidRDefault="00CE28B4" w:rsidP="00CE28B4">
      <w:pPr>
        <w:spacing w:before="0" w:after="0"/>
      </w:pPr>
      <w:r w:rsidRPr="007D00C2">
        <w:t>Findings from local area reports indicate that:</w:t>
      </w:r>
    </w:p>
    <w:p w14:paraId="37640E05" w14:textId="77777777" w:rsidR="00CE28B4" w:rsidRPr="007D00C2" w:rsidRDefault="00CE28B4" w:rsidP="00CE28B4">
      <w:pPr>
        <w:spacing w:before="0" w:after="0"/>
      </w:pPr>
    </w:p>
    <w:p w14:paraId="147A9B0E" w14:textId="77777777" w:rsidR="00CE28B4" w:rsidRPr="007D00C2" w:rsidRDefault="00CE28B4" w:rsidP="001223CA">
      <w:pPr>
        <w:numPr>
          <w:ilvl w:val="0"/>
          <w:numId w:val="25"/>
        </w:numPr>
        <w:spacing w:before="0" w:after="0" w:line="240" w:lineRule="auto"/>
      </w:pPr>
      <w:r w:rsidRPr="007D00C2">
        <w:t>Many </w:t>
      </w:r>
      <w:r w:rsidRPr="007D00C2">
        <w:rPr>
          <w:b/>
          <w:bCs/>
        </w:rPr>
        <w:t>CJPs are successfully aligning their Community Justice Outcome Improvement Plans (CJOIPs) with national strategies</w:t>
      </w:r>
      <w:r w:rsidRPr="007D00C2">
        <w:t>.</w:t>
      </w:r>
    </w:p>
    <w:p w14:paraId="3E9B1545" w14:textId="77777777" w:rsidR="00CE28B4" w:rsidRPr="007D00C2" w:rsidRDefault="00CE28B4" w:rsidP="001223CA">
      <w:pPr>
        <w:numPr>
          <w:ilvl w:val="0"/>
          <w:numId w:val="25"/>
        </w:numPr>
        <w:spacing w:before="0" w:after="0" w:line="240" w:lineRule="auto"/>
      </w:pPr>
      <w:r w:rsidRPr="007D00C2">
        <w:lastRenderedPageBreak/>
        <w:t>Local partnerships continue to </w:t>
      </w:r>
      <w:r w:rsidRPr="007D00C2">
        <w:rPr>
          <w:b/>
          <w:bCs/>
        </w:rPr>
        <w:t>develop innovative solutions</w:t>
      </w:r>
      <w:r w:rsidRPr="007D00C2">
        <w:t> to integrate community justice with broader social and economic support services.</w:t>
      </w:r>
    </w:p>
    <w:p w14:paraId="1C245596" w14:textId="77777777" w:rsidR="00A60FED" w:rsidRDefault="00A60FED" w:rsidP="00A60FED">
      <w:pPr>
        <w:spacing w:before="0" w:after="0" w:line="240" w:lineRule="auto"/>
        <w:rPr>
          <w:b/>
          <w:bCs/>
        </w:rPr>
      </w:pPr>
    </w:p>
    <w:p w14:paraId="0AC5FA08" w14:textId="77777777" w:rsidR="00A60FED" w:rsidRDefault="00A60FED" w:rsidP="00A60FED">
      <w:pPr>
        <w:spacing w:before="0" w:after="0" w:line="240" w:lineRule="auto"/>
        <w:rPr>
          <w:b/>
          <w:bCs/>
        </w:rPr>
      </w:pPr>
    </w:p>
    <w:p w14:paraId="22864DD7" w14:textId="77777777" w:rsidR="00A60FED" w:rsidRDefault="00A60FED" w:rsidP="00A60FED">
      <w:pPr>
        <w:spacing w:before="0" w:after="0" w:line="240" w:lineRule="auto"/>
        <w:rPr>
          <w:b/>
          <w:bCs/>
        </w:rPr>
      </w:pPr>
    </w:p>
    <w:p w14:paraId="5E8BBFD9" w14:textId="6815AC77" w:rsidR="00CE28B4" w:rsidRDefault="00CE28B4" w:rsidP="00A60FED">
      <w:pPr>
        <w:spacing w:before="0" w:after="0" w:line="240" w:lineRule="auto"/>
        <w:rPr>
          <w:b/>
          <w:bCs/>
        </w:rPr>
      </w:pPr>
      <w:r w:rsidRPr="007D00C2">
        <w:rPr>
          <w:b/>
          <w:bCs/>
        </w:rPr>
        <w:t>Moving Forward</w:t>
      </w:r>
    </w:p>
    <w:p w14:paraId="324BC21F" w14:textId="77777777" w:rsidR="00CE28B4" w:rsidRPr="007D00C2" w:rsidRDefault="00CE28B4" w:rsidP="00CE28B4">
      <w:pPr>
        <w:spacing w:before="0" w:after="0" w:line="240" w:lineRule="auto"/>
        <w:ind w:left="720"/>
        <w:rPr>
          <w:b/>
          <w:bCs/>
        </w:rPr>
      </w:pPr>
    </w:p>
    <w:p w14:paraId="1F62F462" w14:textId="77777777" w:rsidR="00CE28B4" w:rsidRPr="007D00C2" w:rsidRDefault="00CE28B4" w:rsidP="00CE28B4">
      <w:pPr>
        <w:spacing w:before="0" w:after="0"/>
      </w:pPr>
      <w:r w:rsidRPr="007D00C2">
        <w:t>Community justice </w:t>
      </w:r>
      <w:r w:rsidRPr="007D00C2">
        <w:rPr>
          <w:b/>
          <w:bCs/>
        </w:rPr>
        <w:t>remains under-resourced</w:t>
      </w:r>
      <w:r w:rsidRPr="007D00C2">
        <w:t>, and funding structures </w:t>
      </w:r>
      <w:r w:rsidRPr="007D00C2">
        <w:rPr>
          <w:b/>
          <w:bCs/>
        </w:rPr>
        <w:t>must evolve</w:t>
      </w:r>
      <w:r w:rsidRPr="007D00C2">
        <w:t> to support long-term, sustainable solutions. This report reinforces our </w:t>
      </w:r>
      <w:r w:rsidRPr="007D00C2">
        <w:rPr>
          <w:b/>
          <w:bCs/>
        </w:rPr>
        <w:t>call for action</w:t>
      </w:r>
      <w:r w:rsidRPr="007D00C2">
        <w:t> to ensure that financial and structural support keeps pace with policy ambitions.</w:t>
      </w:r>
    </w:p>
    <w:p w14:paraId="4E574ECB" w14:textId="77777777" w:rsidR="00331149" w:rsidRDefault="00CE28B4" w:rsidP="00CE28B4">
      <w:pPr>
        <w:rPr>
          <w:b/>
          <w:bCs/>
        </w:rPr>
      </w:pPr>
      <w:r w:rsidRPr="007D00C2">
        <w:t>Collaboration between </w:t>
      </w:r>
      <w:r w:rsidRPr="007D00C2">
        <w:rPr>
          <w:b/>
          <w:bCs/>
        </w:rPr>
        <w:t>local and national partners</w:t>
      </w:r>
      <w:r w:rsidRPr="007D00C2">
        <w:t> is essential in overcoming challenges related to funding, equity, and alignment of justice services. As efforts continue, a </w:t>
      </w:r>
      <w:r w:rsidRPr="007D00C2">
        <w:rPr>
          <w:b/>
          <w:bCs/>
        </w:rPr>
        <w:t>cohesive and well-resourced approach</w:t>
      </w:r>
      <w:r w:rsidRPr="007D00C2">
        <w:t> is critical to achieving Scotland’s vision of a </w:t>
      </w:r>
      <w:r w:rsidRPr="007D00C2">
        <w:rPr>
          <w:b/>
          <w:bCs/>
        </w:rPr>
        <w:t>fair, rehabilitative, and community-focused justice system</w:t>
      </w:r>
      <w:r w:rsidR="00331149">
        <w:rPr>
          <w:b/>
          <w:bCs/>
        </w:rPr>
        <w:t>.</w:t>
      </w:r>
    </w:p>
    <w:p w14:paraId="11F8FB9D" w14:textId="77777777" w:rsidR="00331149" w:rsidRDefault="00331149">
      <w:pPr>
        <w:spacing w:line="240" w:lineRule="auto"/>
        <w:rPr>
          <w:color w:val="auto"/>
        </w:rPr>
      </w:pPr>
      <w:r>
        <w:rPr>
          <w:color w:val="auto"/>
        </w:rPr>
        <w:br w:type="page"/>
      </w:r>
    </w:p>
    <w:p w14:paraId="41FA2C7B" w14:textId="7E7B5354" w:rsidR="001243DB" w:rsidRPr="00623EE6" w:rsidRDefault="006B3622" w:rsidP="00B456C1">
      <w:pPr>
        <w:pStyle w:val="Heading1"/>
      </w:pPr>
      <w:bookmarkStart w:id="9" w:name="_Toc193901785"/>
      <w:r w:rsidRPr="00623EE6">
        <w:lastRenderedPageBreak/>
        <w:t>National Aim 1</w:t>
      </w:r>
      <w:r w:rsidR="002157FB" w:rsidRPr="00623EE6">
        <w:t>: Optimise the use of diversion and intervention at the earliest opportunity</w:t>
      </w:r>
      <w:bookmarkEnd w:id="9"/>
    </w:p>
    <w:p w14:paraId="2A8EB60E" w14:textId="01CC8CFC" w:rsidR="004B7641" w:rsidRPr="00623EE6" w:rsidRDefault="00BF3850" w:rsidP="003F3086">
      <w:pPr>
        <w:pStyle w:val="Heading2"/>
        <w:rPr>
          <w:lang w:val="en-GB"/>
        </w:rPr>
      </w:pPr>
      <w:bookmarkStart w:id="10" w:name="_Toc193901786"/>
      <w:r w:rsidRPr="00623EE6">
        <w:rPr>
          <w:lang w:val="en-GB"/>
        </w:rPr>
        <w:t>Priority Action 1: Enhance intervention at the earliest opportunity by ensuring greater consistency, confidence in and awareness of services which support the use of direct measures and diversion from prosecution</w:t>
      </w:r>
      <w:bookmarkEnd w:id="10"/>
    </w:p>
    <w:p w14:paraId="1364C1AB" w14:textId="77777777" w:rsidR="0051042F" w:rsidRPr="00623EE6" w:rsidRDefault="0051042F" w:rsidP="0051042F">
      <w:pPr>
        <w:pStyle w:val="Heading3"/>
        <w:rPr>
          <w:lang w:eastAsia="en-GB"/>
        </w:rPr>
      </w:pPr>
      <w:r w:rsidRPr="00623EE6">
        <w:rPr>
          <w:lang w:eastAsia="en-GB"/>
        </w:rPr>
        <w:t>Performance</w:t>
      </w:r>
    </w:p>
    <w:p w14:paraId="11FEA521" w14:textId="1F495114" w:rsidR="00BB5975" w:rsidRPr="00623EE6" w:rsidRDefault="00BB5975" w:rsidP="00BB5975">
      <w:pPr>
        <w:rPr>
          <w:b/>
          <w:bCs/>
          <w:color w:val="auto"/>
        </w:rPr>
      </w:pPr>
      <w:r w:rsidRPr="00623EE6">
        <w:rPr>
          <w:b/>
          <w:bCs/>
          <w:color w:val="auto"/>
        </w:rPr>
        <w:t xml:space="preserve">National </w:t>
      </w:r>
      <w:r w:rsidR="009D2A12" w:rsidRPr="00623EE6">
        <w:rPr>
          <w:b/>
          <w:bCs/>
          <w:color w:val="auto"/>
        </w:rPr>
        <w:t>o</w:t>
      </w:r>
      <w:r w:rsidRPr="00623EE6">
        <w:rPr>
          <w:b/>
          <w:bCs/>
          <w:color w:val="auto"/>
        </w:rPr>
        <w:t>utcome:</w:t>
      </w:r>
    </w:p>
    <w:p w14:paraId="290BD1AE" w14:textId="6ED7E5CD" w:rsidR="00BB5975" w:rsidRPr="00623EE6" w:rsidRDefault="00BB5975" w:rsidP="00BB5975">
      <w:pPr>
        <w:rPr>
          <w:color w:val="auto"/>
        </w:rPr>
      </w:pPr>
      <w:r w:rsidRPr="00623EE6">
        <w:rPr>
          <w:color w:val="auto"/>
        </w:rPr>
        <w:t>More people successfully complete diversion from prosecution</w:t>
      </w:r>
    </w:p>
    <w:p w14:paraId="300F9D5B" w14:textId="5AB82237" w:rsidR="000B5E68" w:rsidRPr="00623EE6" w:rsidRDefault="000B5E68" w:rsidP="00BB5975">
      <w:pPr>
        <w:rPr>
          <w:b/>
          <w:bCs/>
          <w:color w:val="auto"/>
        </w:rPr>
      </w:pPr>
      <w:r w:rsidRPr="00623EE6">
        <w:rPr>
          <w:b/>
          <w:bCs/>
          <w:color w:val="auto"/>
        </w:rPr>
        <w:t xml:space="preserve">National </w:t>
      </w:r>
      <w:r w:rsidR="009D2A12" w:rsidRPr="00623EE6">
        <w:rPr>
          <w:b/>
          <w:bCs/>
          <w:color w:val="auto"/>
        </w:rPr>
        <w:t>i</w:t>
      </w:r>
      <w:r w:rsidRPr="00623EE6">
        <w:rPr>
          <w:b/>
          <w:bCs/>
          <w:color w:val="auto"/>
        </w:rPr>
        <w:t>ndicators:</w:t>
      </w:r>
    </w:p>
    <w:p w14:paraId="62146DD9" w14:textId="52F6FC1E" w:rsidR="000B5E68" w:rsidRPr="00623EE6" w:rsidRDefault="000B5E68" w:rsidP="00F22606">
      <w:pPr>
        <w:rPr>
          <w:color w:val="auto"/>
        </w:rPr>
      </w:pPr>
      <w:r w:rsidRPr="00623EE6">
        <w:rPr>
          <w:color w:val="auto"/>
        </w:rPr>
        <w:t>Number of diversion</w:t>
      </w:r>
      <w:r w:rsidR="009D2A12" w:rsidRPr="00623EE6">
        <w:rPr>
          <w:color w:val="auto"/>
        </w:rPr>
        <w:t>s</w:t>
      </w:r>
      <w:r w:rsidRPr="00623EE6">
        <w:rPr>
          <w:color w:val="auto"/>
        </w:rPr>
        <w:t xml:space="preserve"> from prosecution:</w:t>
      </w:r>
    </w:p>
    <w:p w14:paraId="44C6FABE" w14:textId="5B069546" w:rsidR="000B5E68" w:rsidRPr="00623EE6" w:rsidRDefault="00A60FED" w:rsidP="001223CA">
      <w:pPr>
        <w:pStyle w:val="ListParagraph"/>
        <w:numPr>
          <w:ilvl w:val="0"/>
          <w:numId w:val="9"/>
        </w:numPr>
        <w:rPr>
          <w:color w:val="auto"/>
        </w:rPr>
      </w:pPr>
      <w:r>
        <w:rPr>
          <w:color w:val="auto"/>
        </w:rPr>
        <w:t>A</w:t>
      </w:r>
      <w:r w:rsidR="000B5E68" w:rsidRPr="00623EE6">
        <w:rPr>
          <w:color w:val="auto"/>
        </w:rPr>
        <w:t>ssessments undertaken</w:t>
      </w:r>
    </w:p>
    <w:p w14:paraId="208E2DDB" w14:textId="0DA5B048" w:rsidR="000B5E68" w:rsidRPr="00623EE6" w:rsidRDefault="00A60FED" w:rsidP="001223CA">
      <w:pPr>
        <w:pStyle w:val="ListParagraph"/>
        <w:numPr>
          <w:ilvl w:val="0"/>
          <w:numId w:val="9"/>
        </w:numPr>
        <w:rPr>
          <w:color w:val="auto"/>
        </w:rPr>
      </w:pPr>
      <w:r>
        <w:rPr>
          <w:color w:val="auto"/>
        </w:rPr>
        <w:t>C</w:t>
      </w:r>
      <w:r w:rsidR="000B5E68" w:rsidRPr="00623EE6">
        <w:rPr>
          <w:color w:val="auto"/>
        </w:rPr>
        <w:t>ases commenced</w:t>
      </w:r>
    </w:p>
    <w:p w14:paraId="5C3CAEE8" w14:textId="492312F2" w:rsidR="005C6E3F" w:rsidRPr="00623EE6" w:rsidRDefault="00A60FED" w:rsidP="001223CA">
      <w:pPr>
        <w:pStyle w:val="ListParagraph"/>
        <w:numPr>
          <w:ilvl w:val="0"/>
          <w:numId w:val="9"/>
        </w:numPr>
        <w:rPr>
          <w:color w:val="auto"/>
        </w:rPr>
      </w:pPr>
      <w:r>
        <w:rPr>
          <w:color w:val="auto"/>
        </w:rPr>
        <w:t>C</w:t>
      </w:r>
      <w:r w:rsidR="000B5E68" w:rsidRPr="00623EE6">
        <w:rPr>
          <w:color w:val="auto"/>
        </w:rPr>
        <w:t>ases successfully completed</w:t>
      </w:r>
    </w:p>
    <w:p w14:paraId="782712D1" w14:textId="77777777"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t>Community justice partners across Scotland have collaborated well to develop diversion from prosecution. In 2023-24, 3,354</w:t>
      </w:r>
      <w:r w:rsidRPr="00623EE6">
        <w:rPr>
          <w:vertAlign w:val="superscript"/>
        </w:rPr>
        <w:footnoteReference w:id="18"/>
      </w:r>
      <w:r w:rsidRPr="00950CE5">
        <w:rPr>
          <w:rFonts w:eastAsiaTheme="majorEastAsia" w:cs="Arial"/>
          <w:color w:val="auto"/>
        </w:rPr>
        <w:t xml:space="preserve"> people commenced diversion from prosecution. </w:t>
      </w:r>
    </w:p>
    <w:p w14:paraId="0E09CF3E" w14:textId="77777777"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t xml:space="preserve">The number of diversion from prosecution cases commenced </w:t>
      </w:r>
      <w:r w:rsidRPr="00950CE5">
        <w:rPr>
          <w:rFonts w:eastAsiaTheme="majorEastAsia" w:cs="Arial"/>
          <w:b/>
          <w:bCs/>
          <w:color w:val="auto"/>
        </w:rPr>
        <w:t>rose by 28%</w:t>
      </w:r>
      <w:r w:rsidRPr="00950CE5">
        <w:rPr>
          <w:rFonts w:eastAsiaTheme="majorEastAsia" w:cs="Arial"/>
          <w:color w:val="auto"/>
        </w:rPr>
        <w:t xml:space="preserve"> between 2022-23 and 2023-24 from 2,624 to 3,354. This was the </w:t>
      </w:r>
      <w:r w:rsidRPr="00950CE5">
        <w:rPr>
          <w:rFonts w:eastAsiaTheme="majorEastAsia" w:cs="Arial"/>
          <w:b/>
          <w:bCs/>
          <w:color w:val="auto"/>
        </w:rPr>
        <w:t>highest level in the last 10</w:t>
      </w:r>
      <w:r w:rsidRPr="00950CE5">
        <w:rPr>
          <w:rFonts w:eastAsiaTheme="majorEastAsia" w:cs="Arial"/>
          <w:color w:val="auto"/>
        </w:rPr>
        <w:t xml:space="preserve"> years.</w:t>
      </w:r>
    </w:p>
    <w:p w14:paraId="296045FB" w14:textId="76BCABBB"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t xml:space="preserve">Since 2017-18 the number of assessments, cases commenced, and cases successfully completed has been rising. In 2023-2024, 59% of the assessments (3,354) progressed to cases commenced. This remains the same percentage as in 2022-23 but less than 2017-18 when 68% of assessments progressed to cases commenced. </w:t>
      </w:r>
    </w:p>
    <w:p w14:paraId="6D697A75" w14:textId="77777777"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t xml:space="preserve">It is more difficult to determine the percentage of cases commenced resulting in successful completion because cases started in one year do not necessarily conclude within the same year. </w:t>
      </w:r>
    </w:p>
    <w:p w14:paraId="028BD743" w14:textId="77777777"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t>The number of cases successfully completed in 2023-24 was 2,397. This was 22% higher than in 2022-23, when it was 1,960</w:t>
      </w:r>
    </w:p>
    <w:p w14:paraId="49CDE973" w14:textId="77777777"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lastRenderedPageBreak/>
        <w:t>For more information</w:t>
      </w:r>
      <w:r w:rsidRPr="00950CE5">
        <w:rPr>
          <w:color w:val="auto"/>
          <w:lang w:eastAsia="en-GB"/>
        </w:rPr>
        <w:t xml:space="preserve"> about the indicator see </w:t>
      </w:r>
      <w:hyperlink r:id="rId29" w:history="1">
        <w:r w:rsidRPr="00623EE6">
          <w:rPr>
            <w:rStyle w:val="Hyperlink"/>
            <w:lang w:eastAsia="en-GB"/>
          </w:rPr>
          <w:t>Community Justice Performance Framework: guidance and technical notes, version 2</w:t>
        </w:r>
      </w:hyperlink>
      <w:r w:rsidRPr="00623EE6">
        <w:t>.</w:t>
      </w:r>
    </w:p>
    <w:p w14:paraId="7B81BEE3" w14:textId="77777777" w:rsidR="00950CE5" w:rsidRPr="00950CE5" w:rsidRDefault="00950CE5" w:rsidP="001223CA">
      <w:pPr>
        <w:pStyle w:val="ListParagraph"/>
        <w:numPr>
          <w:ilvl w:val="0"/>
          <w:numId w:val="9"/>
        </w:numPr>
        <w:rPr>
          <w:rFonts w:eastAsiaTheme="majorEastAsia" w:cs="Arial"/>
          <w:color w:val="auto"/>
        </w:rPr>
      </w:pPr>
      <w:r w:rsidRPr="00950CE5">
        <w:rPr>
          <w:rFonts w:eastAsiaTheme="majorEastAsia" w:cs="Arial"/>
          <w:color w:val="auto"/>
        </w:rPr>
        <w:t>The figure</w:t>
      </w:r>
      <w:r w:rsidRPr="00623EE6">
        <w:rPr>
          <w:rStyle w:val="FootnoteReference"/>
          <w:rFonts w:eastAsiaTheme="majorEastAsia" w:cs="Arial"/>
          <w:color w:val="auto"/>
        </w:rPr>
        <w:footnoteReference w:id="19"/>
      </w:r>
      <w:r w:rsidRPr="00950CE5">
        <w:rPr>
          <w:rFonts w:eastAsiaTheme="majorEastAsia" w:cs="Arial"/>
          <w:color w:val="auto"/>
        </w:rPr>
        <w:t xml:space="preserve"> below shows a clear pattern in growth of diversion from </w:t>
      </w:r>
      <w:permStart w:id="862202333" w:edGrp="everyone"/>
      <w:permEnd w:id="862202333"/>
      <w:r w:rsidRPr="00950CE5">
        <w:rPr>
          <w:rFonts w:eastAsiaTheme="majorEastAsia" w:cs="Arial"/>
          <w:color w:val="auto"/>
        </w:rPr>
        <w:t xml:space="preserve">prosecution in recent years. The baseline year for this indicator is 2017-18 </w:t>
      </w:r>
      <w:r w:rsidRPr="00950CE5">
        <w:rPr>
          <w:color w:val="auto"/>
          <w:lang w:eastAsia="en-GB"/>
        </w:rPr>
        <w:t>when the Community Justice (Scotland) Act was implemented.</w:t>
      </w:r>
    </w:p>
    <w:p w14:paraId="4B1DAFEE" w14:textId="36375E39" w:rsidR="00602817" w:rsidRPr="00623EE6" w:rsidRDefault="00BB5975" w:rsidP="005C6E3F">
      <w:pPr>
        <w:rPr>
          <w:rFonts w:eastAsiaTheme="majorEastAsia" w:cs="Arial"/>
          <w:color w:val="auto"/>
        </w:rPr>
      </w:pPr>
      <w:r w:rsidRPr="00623EE6">
        <w:rPr>
          <w:noProof/>
        </w:rPr>
        <w:drawing>
          <wp:inline distT="0" distB="0" distL="0" distR="0" wp14:anchorId="40A5F921" wp14:editId="58291330">
            <wp:extent cx="5537200" cy="2733675"/>
            <wp:effectExtent l="0" t="0" r="6350" b="9525"/>
            <wp:docPr id="698408741" name="Chart 1" descr="Graph of diversion from prosecution indicator">
              <a:extLst xmlns:a="http://schemas.openxmlformats.org/drawingml/2006/main">
                <a:ext uri="{FF2B5EF4-FFF2-40B4-BE49-F238E27FC236}">
                  <a16:creationId xmlns:a16="http://schemas.microsoft.com/office/drawing/2014/main" id="{6C79B350-574E-6382-7B0E-777BA6388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75C2D5" w14:textId="77777777" w:rsidR="00130AD9" w:rsidRDefault="00130AD9" w:rsidP="00130AD9">
      <w:pPr>
        <w:spacing w:before="100" w:beforeAutospacing="1" w:after="100" w:afterAutospacing="1"/>
      </w:pPr>
      <w:r>
        <w:t>Court data</w:t>
      </w:r>
      <w:r>
        <w:rPr>
          <w:rStyle w:val="FootnoteReference"/>
        </w:rPr>
        <w:footnoteReference w:id="20"/>
      </w:r>
      <w:r>
        <w:t xml:space="preserve"> suggests that </w:t>
      </w:r>
      <w:r>
        <w:rPr>
          <w:rStyle w:val="Strong"/>
        </w:rPr>
        <w:t>a significant number of cases</w:t>
      </w:r>
      <w:r>
        <w:t> could have been </w:t>
      </w:r>
      <w:r>
        <w:rPr>
          <w:rStyle w:val="Strong"/>
        </w:rPr>
        <w:t>resolved through direct measures</w:t>
      </w:r>
      <w:r>
        <w:t>—such as </w:t>
      </w:r>
      <w:r>
        <w:rPr>
          <w:rStyle w:val="Strong"/>
        </w:rPr>
        <w:t>Warnings, Fiscal Fines, and Fiscal Work Orders</w:t>
      </w:r>
      <w:r>
        <w:t>—rather than progressing through the courts.</w:t>
      </w:r>
    </w:p>
    <w:p w14:paraId="4BC017E1" w14:textId="77777777" w:rsidR="00130AD9" w:rsidRPr="00130AD9" w:rsidRDefault="00130AD9" w:rsidP="00130AD9">
      <w:pPr>
        <w:spacing w:before="100" w:beforeAutospacing="1" w:after="100" w:afterAutospacing="1"/>
      </w:pPr>
      <w:r>
        <w:rPr>
          <w:rFonts w:eastAsia="Times New Roman"/>
        </w:rPr>
        <w:t>Key Statistics from 2023-24:</w:t>
      </w:r>
    </w:p>
    <w:p w14:paraId="2360FCEA" w14:textId="77777777" w:rsidR="00130AD9" w:rsidRDefault="00130AD9" w:rsidP="001223CA">
      <w:pPr>
        <w:numPr>
          <w:ilvl w:val="0"/>
          <w:numId w:val="26"/>
        </w:numPr>
        <w:spacing w:before="100" w:beforeAutospacing="1" w:after="100" w:afterAutospacing="1" w:line="240" w:lineRule="auto"/>
      </w:pPr>
      <w:r>
        <w:rPr>
          <w:rStyle w:val="Strong"/>
        </w:rPr>
        <w:t>19,218 charges</w:t>
      </w:r>
      <w:r>
        <w:t> resulted in </w:t>
      </w:r>
      <w:r>
        <w:rPr>
          <w:rStyle w:val="Strong"/>
        </w:rPr>
        <w:t>admonishment or dismissal</w:t>
      </w:r>
      <w:r>
        <w:t>.</w:t>
      </w:r>
    </w:p>
    <w:p w14:paraId="5AD35F3E" w14:textId="77777777" w:rsidR="00130AD9" w:rsidRDefault="00130AD9" w:rsidP="001223CA">
      <w:pPr>
        <w:numPr>
          <w:ilvl w:val="0"/>
          <w:numId w:val="26"/>
        </w:numPr>
        <w:spacing w:before="100" w:beforeAutospacing="1" w:after="100" w:afterAutospacing="1" w:line="240" w:lineRule="auto"/>
      </w:pPr>
      <w:r>
        <w:rPr>
          <w:rStyle w:val="Strong"/>
        </w:rPr>
        <w:t>522 charges</w:t>
      </w:r>
      <w:r>
        <w:t> led to </w:t>
      </w:r>
      <w:r>
        <w:rPr>
          <w:rStyle w:val="Strong"/>
        </w:rPr>
        <w:t>absolute discharge</w:t>
      </w:r>
      <w:r>
        <w:t>.</w:t>
      </w:r>
    </w:p>
    <w:p w14:paraId="631C661D" w14:textId="3F596786" w:rsidR="00130AD9" w:rsidRPr="00C71C50" w:rsidRDefault="00130AD9" w:rsidP="00C71C50">
      <w:pPr>
        <w:spacing w:before="100" w:beforeAutospacing="1" w:after="100" w:afterAutospacing="1"/>
      </w:pPr>
      <w:r>
        <w:t>Increasing the use of </w:t>
      </w:r>
      <w:r>
        <w:rPr>
          <w:rStyle w:val="Strong"/>
        </w:rPr>
        <w:t>direct measures and diversion from prosecution</w:t>
      </w:r>
      <w:r>
        <w:t> could lead to </w:t>
      </w:r>
      <w:r>
        <w:rPr>
          <w:rStyle w:val="Strong"/>
        </w:rPr>
        <w:t xml:space="preserve">more person-centred outcomes </w:t>
      </w:r>
      <w:r>
        <w:t>for both victims and individuals who have caused harm. However, </w:t>
      </w:r>
      <w:r w:rsidRPr="00130AD9">
        <w:rPr>
          <w:rStyle w:val="Strong"/>
          <w:b w:val="0"/>
          <w:bCs w:val="0"/>
        </w:rPr>
        <w:t>shifting resources upstream</w:t>
      </w:r>
      <w:r w:rsidR="00A60FED">
        <w:rPr>
          <w:rStyle w:val="Strong"/>
          <w:b w:val="0"/>
          <w:bCs w:val="0"/>
        </w:rPr>
        <w:t xml:space="preserve"> - </w:t>
      </w:r>
      <w:r w:rsidRPr="003D4C77">
        <w:rPr>
          <w:bCs/>
        </w:rPr>
        <w:t>from savings made in</w:t>
      </w:r>
      <w:r w:rsidRPr="00130AD9">
        <w:rPr>
          <w:b/>
        </w:rPr>
        <w:t> </w:t>
      </w:r>
      <w:r w:rsidRPr="00130AD9">
        <w:rPr>
          <w:rStyle w:val="Strong"/>
          <w:b w:val="0"/>
          <w:bCs w:val="0"/>
        </w:rPr>
        <w:t>COPFS, the Scottish Courts and Tribunals Service (SCTS), and legal aid costs</w:t>
      </w:r>
      <w:r w:rsidR="00A60FED">
        <w:rPr>
          <w:bCs/>
        </w:rPr>
        <w:t xml:space="preserve"> - </w:t>
      </w:r>
      <w:r w:rsidRPr="003D4C77">
        <w:rPr>
          <w:bCs/>
        </w:rPr>
        <w:t>would be essential to support this expansion. It is important to note that</w:t>
      </w:r>
      <w:r w:rsidRPr="00130AD9">
        <w:rPr>
          <w:b/>
        </w:rPr>
        <w:t> </w:t>
      </w:r>
      <w:r w:rsidRPr="00130AD9">
        <w:rPr>
          <w:rStyle w:val="Strong"/>
          <w:b w:val="0"/>
          <w:bCs w:val="0"/>
        </w:rPr>
        <w:t>decisions on diversion from prosecution remain at the discretion of COPFS</w:t>
      </w:r>
      <w:r w:rsidRPr="00130AD9">
        <w:rPr>
          <w:b/>
        </w:rPr>
        <w:t>.</w:t>
      </w:r>
    </w:p>
    <w:p w14:paraId="53866371" w14:textId="77777777" w:rsidR="00130AD9" w:rsidRDefault="00130AD9" w:rsidP="00130AD9">
      <w:pPr>
        <w:spacing w:before="100" w:beforeAutospacing="1" w:after="100" w:afterAutospacing="1"/>
      </w:pPr>
      <w:r>
        <w:lastRenderedPageBreak/>
        <w:t>Budget constraints in the </w:t>
      </w:r>
      <w:r>
        <w:rPr>
          <w:rStyle w:val="Strong"/>
        </w:rPr>
        <w:t>current public finance climate</w:t>
      </w:r>
      <w:r>
        <w:t> make large-scale "spend-to-save" initiatives unlikely. However, if Scotland is to </w:t>
      </w:r>
      <w:r>
        <w:rPr>
          <w:rStyle w:val="Strong"/>
        </w:rPr>
        <w:t>increase the use of direct measures</w:t>
      </w:r>
      <w:r>
        <w:t>, it is </w:t>
      </w:r>
      <w:r>
        <w:rPr>
          <w:rStyle w:val="Strong"/>
        </w:rPr>
        <w:t>critical that community services receive the necessary funding</w:t>
      </w:r>
      <w:r>
        <w:t> to support this shift.</w:t>
      </w:r>
    </w:p>
    <w:p w14:paraId="70BA1C5E" w14:textId="74493B17" w:rsidR="00130AD9" w:rsidRDefault="00FE7D19" w:rsidP="00130AD9">
      <w:pPr>
        <w:rPr>
          <w:rFonts w:eastAsiaTheme="majorEastAsia" w:cs="Arial"/>
          <w:color w:val="auto"/>
        </w:rPr>
      </w:pPr>
      <w:r>
        <w:rPr>
          <w:rFonts w:eastAsiaTheme="majorEastAsia" w:cs="Arial"/>
          <w:color w:val="auto"/>
        </w:rPr>
        <w:t>Local d</w:t>
      </w:r>
      <w:r w:rsidR="00130AD9">
        <w:rPr>
          <w:rFonts w:eastAsiaTheme="majorEastAsia" w:cs="Arial"/>
          <w:color w:val="auto"/>
        </w:rPr>
        <w:t>ata suggest</w:t>
      </w:r>
      <w:r w:rsidR="002452A5">
        <w:rPr>
          <w:rFonts w:eastAsiaTheme="majorEastAsia" w:cs="Arial"/>
          <w:color w:val="auto"/>
        </w:rPr>
        <w:t>s</w:t>
      </w:r>
      <w:r w:rsidR="00130AD9">
        <w:rPr>
          <w:rFonts w:eastAsiaTheme="majorEastAsia" w:cs="Arial"/>
          <w:color w:val="auto"/>
        </w:rPr>
        <w:t xml:space="preserve"> a number of recurring themes;</w:t>
      </w:r>
    </w:p>
    <w:p w14:paraId="2EDF35C4" w14:textId="77777777" w:rsidR="00130AD9" w:rsidRDefault="00130AD9" w:rsidP="001223CA">
      <w:pPr>
        <w:numPr>
          <w:ilvl w:val="0"/>
          <w:numId w:val="27"/>
        </w:numPr>
        <w:spacing w:before="100" w:beforeAutospacing="1" w:after="100" w:afterAutospacing="1" w:line="240" w:lineRule="auto"/>
      </w:pPr>
      <w:r>
        <w:t>More diversion cases now involve individuals with </w:t>
      </w:r>
      <w:r w:rsidRPr="00130AD9">
        <w:rPr>
          <w:rStyle w:val="Strong"/>
          <w:b w:val="0"/>
          <w:bCs w:val="0"/>
        </w:rPr>
        <w:t>complex needs</w:t>
      </w:r>
      <w:r>
        <w:t>, including </w:t>
      </w:r>
      <w:r w:rsidRPr="00130AD9">
        <w:rPr>
          <w:rStyle w:val="Strong"/>
          <w:b w:val="0"/>
          <w:bCs w:val="0"/>
        </w:rPr>
        <w:t>chronic health issues, neurodiversity, and trauma</w:t>
      </w:r>
      <w:r>
        <w:t>.</w:t>
      </w:r>
    </w:p>
    <w:p w14:paraId="441E5E2B" w14:textId="77777777" w:rsidR="00130AD9" w:rsidRDefault="00130AD9" w:rsidP="001223CA">
      <w:pPr>
        <w:numPr>
          <w:ilvl w:val="0"/>
          <w:numId w:val="27"/>
        </w:numPr>
        <w:spacing w:before="100" w:beforeAutospacing="1" w:after="100" w:afterAutospacing="1" w:line="240" w:lineRule="auto"/>
      </w:pPr>
      <w:r>
        <w:t>Supporting individuals with greater needs requires</w:t>
      </w:r>
      <w:r w:rsidRPr="00130AD9">
        <w:rPr>
          <w:b/>
          <w:bCs/>
        </w:rPr>
        <w:t> </w:t>
      </w:r>
      <w:r w:rsidRPr="00130AD9">
        <w:rPr>
          <w:rStyle w:val="Strong"/>
          <w:b w:val="0"/>
        </w:rPr>
        <w:t>qualified social work resources and additional professional training</w:t>
      </w:r>
      <w:r w:rsidRPr="00130AD9">
        <w:rPr>
          <w:b/>
          <w:bCs/>
        </w:rPr>
        <w:t>.</w:t>
      </w:r>
    </w:p>
    <w:p w14:paraId="5C0F79C7" w14:textId="77777777" w:rsidR="00130AD9" w:rsidRDefault="00130AD9" w:rsidP="001223CA">
      <w:pPr>
        <w:numPr>
          <w:ilvl w:val="0"/>
          <w:numId w:val="27"/>
        </w:numPr>
        <w:spacing w:before="100" w:beforeAutospacing="1" w:after="100" w:afterAutospacing="1" w:line="240" w:lineRule="auto"/>
      </w:pPr>
      <w:r>
        <w:t>It is </w:t>
      </w:r>
      <w:r w:rsidRPr="00130AD9">
        <w:rPr>
          <w:rStyle w:val="Strong"/>
          <w:b w:val="0"/>
          <w:bCs w:val="0"/>
        </w:rPr>
        <w:t>unclear whether all increases in diversion represent cases that would have previously been prosecuted</w:t>
      </w:r>
      <w:r>
        <w:t>, or if some diver</w:t>
      </w:r>
      <w:r w:rsidRPr="00DD09DF">
        <w:t>sions result from </w:t>
      </w:r>
      <w:r w:rsidRPr="00130AD9">
        <w:rPr>
          <w:rStyle w:val="Strong"/>
          <w:b w:val="0"/>
          <w:bCs w:val="0"/>
        </w:rPr>
        <w:t>missed earlier opportunities for direct measures</w:t>
      </w:r>
      <w:r w:rsidRPr="00DD09DF">
        <w:t>.</w:t>
      </w:r>
    </w:p>
    <w:p w14:paraId="2D77696A" w14:textId="4DF37FA3" w:rsidR="00130AD9" w:rsidRPr="00623EE6" w:rsidRDefault="00130AD9" w:rsidP="00130AD9">
      <w:pPr>
        <w:rPr>
          <w:rFonts w:eastAsiaTheme="majorEastAsia" w:cs="Arial"/>
          <w:color w:val="auto"/>
        </w:rPr>
      </w:pPr>
      <w:r>
        <w:rPr>
          <w:rFonts w:eastAsiaTheme="majorEastAsia" w:cs="Arial"/>
          <w:color w:val="auto"/>
        </w:rPr>
        <w:t>T</w:t>
      </w:r>
      <w:r w:rsidRPr="00623EE6">
        <w:rPr>
          <w:rFonts w:eastAsiaTheme="majorEastAsia" w:cs="Arial"/>
          <w:color w:val="auto"/>
        </w:rPr>
        <w:t>he following changes in other direct measures have also occurred:</w:t>
      </w:r>
    </w:p>
    <w:p w14:paraId="5913CBFE" w14:textId="77777777" w:rsidR="00130AD9" w:rsidRPr="00623EE6" w:rsidRDefault="00130AD9" w:rsidP="00130AD9">
      <w:pPr>
        <w:numPr>
          <w:ilvl w:val="0"/>
          <w:numId w:val="7"/>
        </w:numPr>
        <w:rPr>
          <w:rFonts w:eastAsiaTheme="majorEastAsia" w:cs="Arial"/>
          <w:color w:val="auto"/>
        </w:rPr>
      </w:pPr>
      <w:r w:rsidRPr="00623EE6">
        <w:rPr>
          <w:rFonts w:eastAsiaTheme="majorEastAsia" w:cs="Arial"/>
          <w:color w:val="auto"/>
        </w:rPr>
        <w:t>The number of formal police warnings</w:t>
      </w:r>
      <w:r w:rsidRPr="00623EE6">
        <w:rPr>
          <w:rFonts w:eastAsiaTheme="majorEastAsia" w:cs="Arial"/>
          <w:color w:val="auto"/>
          <w:vertAlign w:val="superscript"/>
        </w:rPr>
        <w:footnoteReference w:id="21"/>
      </w:r>
      <w:r w:rsidRPr="00623EE6">
        <w:rPr>
          <w:rFonts w:eastAsiaTheme="majorEastAsia" w:cs="Arial"/>
          <w:color w:val="auto"/>
        </w:rPr>
        <w:t xml:space="preserve"> issued was 19,181, a reduction of 4.4% from 2022-23.</w:t>
      </w:r>
    </w:p>
    <w:p w14:paraId="6785A9DC" w14:textId="77777777" w:rsidR="00130AD9" w:rsidRPr="00623EE6" w:rsidRDefault="00130AD9" w:rsidP="00130AD9">
      <w:pPr>
        <w:numPr>
          <w:ilvl w:val="0"/>
          <w:numId w:val="7"/>
        </w:numPr>
        <w:rPr>
          <w:rFonts w:eastAsiaTheme="majorEastAsia" w:cs="Arial"/>
          <w:color w:val="auto"/>
        </w:rPr>
      </w:pPr>
      <w:r w:rsidRPr="00623EE6">
        <w:rPr>
          <w:rFonts w:eastAsiaTheme="majorEastAsia" w:cs="Arial"/>
          <w:color w:val="auto"/>
        </w:rPr>
        <w:t>The number of anti-social behaviour fixed penalty notices issued by the police was 4,258, a reduction of 10.5% from 2022-23.</w:t>
      </w:r>
    </w:p>
    <w:p w14:paraId="0DD24DEB" w14:textId="77777777" w:rsidR="00130AD9" w:rsidRPr="00623EE6" w:rsidRDefault="00130AD9" w:rsidP="00130AD9">
      <w:pPr>
        <w:numPr>
          <w:ilvl w:val="0"/>
          <w:numId w:val="8"/>
        </w:numPr>
        <w:rPr>
          <w:rFonts w:eastAsiaTheme="majorEastAsia" w:cs="Arial"/>
          <w:color w:val="auto"/>
        </w:rPr>
      </w:pPr>
      <w:r w:rsidRPr="00623EE6">
        <w:rPr>
          <w:rFonts w:eastAsiaTheme="majorEastAsia" w:cs="Arial"/>
          <w:color w:val="auto"/>
        </w:rPr>
        <w:t>The number of fiscal warning letters issued was 2,531. This is a reduction from 3,249 in 2022-23. There were 5,203 in 2021-22, 6,583 in 2020-21 and 5,261 in 2019-20.</w:t>
      </w:r>
      <w:r w:rsidRPr="00623EE6">
        <w:rPr>
          <w:rStyle w:val="FootnoteReference"/>
          <w:rFonts w:eastAsiaTheme="majorEastAsia" w:cs="Arial"/>
          <w:color w:val="auto"/>
        </w:rPr>
        <w:footnoteReference w:id="22"/>
      </w:r>
    </w:p>
    <w:p w14:paraId="5803E08D" w14:textId="77777777" w:rsidR="00130AD9" w:rsidRPr="00623EE6" w:rsidRDefault="00130AD9" w:rsidP="00130AD9">
      <w:pPr>
        <w:numPr>
          <w:ilvl w:val="0"/>
          <w:numId w:val="8"/>
        </w:numPr>
        <w:rPr>
          <w:rFonts w:eastAsiaTheme="majorEastAsia" w:cs="Arial"/>
          <w:color w:val="auto"/>
        </w:rPr>
      </w:pPr>
      <w:r w:rsidRPr="00623EE6">
        <w:rPr>
          <w:rFonts w:eastAsiaTheme="majorEastAsia" w:cs="Arial"/>
          <w:color w:val="auto"/>
        </w:rPr>
        <w:t>102 fiscal work orders were imposed in 2023-24. This was 25% lower than in 2022-23 (136) and the second lowest in the last nine years.</w:t>
      </w:r>
      <w:r w:rsidRPr="00623EE6">
        <w:rPr>
          <w:rStyle w:val="FootnoteReference"/>
          <w:rFonts w:eastAsiaTheme="majorEastAsia" w:cs="Arial"/>
          <w:color w:val="auto"/>
        </w:rPr>
        <w:footnoteReference w:id="23"/>
      </w:r>
    </w:p>
    <w:p w14:paraId="17E67411" w14:textId="48E9DE25" w:rsidR="00130AD9" w:rsidRDefault="00130AD9" w:rsidP="00130AD9">
      <w:pPr>
        <w:spacing w:before="100" w:beforeAutospacing="1" w:after="100" w:afterAutospacing="1"/>
      </w:pPr>
      <w:r>
        <w:t>While </w:t>
      </w:r>
      <w:r w:rsidRPr="00130AD9">
        <w:rPr>
          <w:rStyle w:val="Strong"/>
          <w:b w:val="0"/>
          <w:bCs w:val="0"/>
        </w:rPr>
        <w:t>some diverted cases involve more complex individuals</w:t>
      </w:r>
      <w:r>
        <w:t>, others may reflect </w:t>
      </w:r>
      <w:r>
        <w:rPr>
          <w:rStyle w:val="Strong"/>
        </w:rPr>
        <w:t>missed opportunities for earlier intervention</w:t>
      </w:r>
      <w:r>
        <w:t>. Further data collection and analysis are needed to e</w:t>
      </w:r>
      <w:r w:rsidRPr="00635BA6">
        <w:t>nsure that increased diversion aligns with </w:t>
      </w:r>
      <w:r w:rsidRPr="00130AD9">
        <w:rPr>
          <w:rStyle w:val="Strong"/>
          <w:b w:val="0"/>
          <w:bCs w:val="0"/>
        </w:rPr>
        <w:t>policy intentions</w:t>
      </w:r>
      <w:r w:rsidRPr="00635BA6">
        <w:t> </w:t>
      </w:r>
      <w:r>
        <w:t>and is </w:t>
      </w:r>
      <w:r>
        <w:rPr>
          <w:rStyle w:val="Strong"/>
        </w:rPr>
        <w:t>consistent across local areas</w:t>
      </w:r>
      <w:r>
        <w:t>.</w:t>
      </w:r>
    </w:p>
    <w:p w14:paraId="11837184" w14:textId="77777777" w:rsidR="00130AD9" w:rsidRPr="00623EE6" w:rsidRDefault="00130AD9" w:rsidP="00130AD9">
      <w:pPr>
        <w:pStyle w:val="Heading3"/>
      </w:pPr>
      <w:r w:rsidRPr="00623EE6">
        <w:lastRenderedPageBreak/>
        <w:t>Wider evidence</w:t>
      </w:r>
    </w:p>
    <w:p w14:paraId="7AA6867A" w14:textId="77777777" w:rsidR="00130AD9" w:rsidRPr="00623EE6" w:rsidRDefault="00130AD9" w:rsidP="00130AD9">
      <w:pPr>
        <w:rPr>
          <w:rFonts w:eastAsiaTheme="majorEastAsia" w:cs="Arial"/>
          <w:color w:val="auto"/>
        </w:rPr>
      </w:pPr>
      <w:r w:rsidRPr="00623EE6">
        <w:rPr>
          <w:rFonts w:eastAsiaTheme="majorEastAsia" w:cs="Arial"/>
          <w:color w:val="auto"/>
        </w:rPr>
        <w:t>In 2023, a joint review of diversion from prosecution</w:t>
      </w:r>
      <w:r w:rsidRPr="00623EE6">
        <w:rPr>
          <w:rFonts w:eastAsiaTheme="majorEastAsia" w:cs="Arial"/>
          <w:color w:val="auto"/>
          <w:vertAlign w:val="superscript"/>
        </w:rPr>
        <w:footnoteReference w:id="24"/>
      </w:r>
      <w:r w:rsidRPr="00623EE6">
        <w:rPr>
          <w:rFonts w:eastAsiaTheme="majorEastAsia" w:cs="Arial"/>
          <w:color w:val="auto"/>
        </w:rPr>
        <w:t xml:space="preserve"> was published by HM Inspectorate of Constabulary in Scotland, HM Inspectorate of Prosecution in Scotland, the Care Inspectorate and HM Inspectorate of Prisons for Scotland.</w:t>
      </w:r>
    </w:p>
    <w:p w14:paraId="6181F8FE" w14:textId="77777777" w:rsidR="00130AD9" w:rsidRDefault="00130AD9" w:rsidP="00130AD9">
      <w:pPr>
        <w:spacing w:before="100" w:beforeAutospacing="1" w:after="100" w:afterAutospacing="1"/>
      </w:pPr>
      <w:r>
        <w:t>This review:</w:t>
      </w:r>
    </w:p>
    <w:p w14:paraId="523A2015" w14:textId="77777777" w:rsidR="00130AD9" w:rsidRDefault="00130AD9" w:rsidP="001223CA">
      <w:pPr>
        <w:numPr>
          <w:ilvl w:val="0"/>
          <w:numId w:val="28"/>
        </w:numPr>
        <w:spacing w:before="100" w:beforeAutospacing="1" w:after="100" w:afterAutospacing="1" w:line="240" w:lineRule="auto"/>
      </w:pPr>
      <w:r>
        <w:t>Assessed the </w:t>
      </w:r>
      <w:r>
        <w:rPr>
          <w:rStyle w:val="Strong"/>
        </w:rPr>
        <w:t>operation and impact of diversion from prosecution</w:t>
      </w:r>
      <w:r>
        <w:t> across policing, prosecution, and JSW.</w:t>
      </w:r>
    </w:p>
    <w:p w14:paraId="1AEDB07B" w14:textId="77777777" w:rsidR="00130AD9" w:rsidRDefault="00130AD9" w:rsidP="001223CA">
      <w:pPr>
        <w:numPr>
          <w:ilvl w:val="0"/>
          <w:numId w:val="28"/>
        </w:numPr>
        <w:spacing w:before="100" w:beforeAutospacing="1" w:after="100" w:afterAutospacing="1" w:line="240" w:lineRule="auto"/>
      </w:pPr>
      <w:r>
        <w:t>Identified </w:t>
      </w:r>
      <w:r>
        <w:rPr>
          <w:rStyle w:val="Strong"/>
        </w:rPr>
        <w:t>key successes and barriers</w:t>
      </w:r>
      <w:r>
        <w:t>.</w:t>
      </w:r>
    </w:p>
    <w:p w14:paraId="2B9812E9" w14:textId="77777777" w:rsidR="00130AD9" w:rsidRDefault="00130AD9" w:rsidP="001223CA">
      <w:pPr>
        <w:numPr>
          <w:ilvl w:val="0"/>
          <w:numId w:val="28"/>
        </w:numPr>
        <w:spacing w:before="100" w:beforeAutospacing="1" w:after="100" w:afterAutospacing="1" w:line="240" w:lineRule="auto"/>
      </w:pPr>
      <w:r>
        <w:t>Made </w:t>
      </w:r>
      <w:r>
        <w:rPr>
          <w:rStyle w:val="Strong"/>
        </w:rPr>
        <w:t>34 recommendations</w:t>
      </w:r>
      <w:r>
        <w:t> for improving diversion practices.</w:t>
      </w:r>
    </w:p>
    <w:p w14:paraId="7DFA36F8" w14:textId="77777777" w:rsidR="00130AD9" w:rsidRPr="00623EE6" w:rsidRDefault="00130AD9" w:rsidP="00130AD9">
      <w:pPr>
        <w:rPr>
          <w:rFonts w:eastAsiaTheme="majorEastAsia" w:cs="Arial"/>
          <w:color w:val="auto"/>
        </w:rPr>
      </w:pPr>
      <w:r w:rsidRPr="00623EE6">
        <w:rPr>
          <w:rFonts w:eastAsiaTheme="majorEastAsia" w:cs="Arial"/>
          <w:color w:val="auto"/>
        </w:rPr>
        <w:t>A working group of partners has been established by the Scottish Government to oversee implementation of these recommendations and to ensure continuous commitment from partners.</w:t>
      </w:r>
    </w:p>
    <w:p w14:paraId="031BC06F" w14:textId="77777777" w:rsidR="00130AD9" w:rsidRDefault="00130AD9" w:rsidP="00130AD9">
      <w:pPr>
        <w:spacing w:before="100" w:beforeAutospacing="1" w:after="100" w:afterAutospacing="1"/>
      </w:pPr>
      <w:r>
        <w:t>Local partnerships have made progress in leveraging resources to </w:t>
      </w:r>
      <w:r>
        <w:rPr>
          <w:rStyle w:val="Strong"/>
        </w:rPr>
        <w:t>meet increasing demand</w:t>
      </w:r>
      <w:r>
        <w:t> for diversion. However, key concerns remain:</w:t>
      </w:r>
    </w:p>
    <w:p w14:paraId="5AB20B02" w14:textId="77777777" w:rsidR="00130AD9" w:rsidRPr="00130AD9" w:rsidRDefault="00130AD9" w:rsidP="001223CA">
      <w:pPr>
        <w:numPr>
          <w:ilvl w:val="0"/>
          <w:numId w:val="29"/>
        </w:numPr>
        <w:spacing w:before="100" w:beforeAutospacing="1" w:after="100" w:afterAutospacing="1" w:line="240" w:lineRule="auto"/>
        <w:rPr>
          <w:b/>
        </w:rPr>
      </w:pPr>
      <w:r w:rsidRPr="00130AD9">
        <w:rPr>
          <w:rStyle w:val="Strong"/>
          <w:b w:val="0"/>
          <w:bCs w:val="0"/>
        </w:rPr>
        <w:t>Sustainability</w:t>
      </w:r>
      <w:r w:rsidRPr="00130AD9">
        <w:rPr>
          <w:b/>
        </w:rPr>
        <w:t xml:space="preserve">: </w:t>
      </w:r>
      <w:r w:rsidRPr="00B07B12">
        <w:rPr>
          <w:bCs/>
        </w:rPr>
        <w:t>How to fund further expansion while maintaining</w:t>
      </w:r>
      <w:r w:rsidRPr="00130AD9">
        <w:rPr>
          <w:b/>
        </w:rPr>
        <w:t> </w:t>
      </w:r>
      <w:r w:rsidRPr="00130AD9">
        <w:rPr>
          <w:rStyle w:val="Strong"/>
          <w:b w:val="0"/>
          <w:bCs w:val="0"/>
        </w:rPr>
        <w:t>quality and effectiveness</w:t>
      </w:r>
      <w:r w:rsidRPr="00130AD9">
        <w:rPr>
          <w:b/>
        </w:rPr>
        <w:t>.</w:t>
      </w:r>
    </w:p>
    <w:p w14:paraId="7B5D3DC4" w14:textId="77777777" w:rsidR="00130AD9" w:rsidRPr="00130AD9" w:rsidRDefault="00130AD9" w:rsidP="001223CA">
      <w:pPr>
        <w:numPr>
          <w:ilvl w:val="0"/>
          <w:numId w:val="29"/>
        </w:numPr>
        <w:spacing w:before="100" w:beforeAutospacing="1" w:after="100" w:afterAutospacing="1" w:line="240" w:lineRule="auto"/>
        <w:rPr>
          <w:b/>
        </w:rPr>
      </w:pPr>
      <w:r w:rsidRPr="00130AD9">
        <w:rPr>
          <w:rStyle w:val="Strong"/>
          <w:b w:val="0"/>
          <w:bCs w:val="0"/>
        </w:rPr>
        <w:t>Training and Resourcing</w:t>
      </w:r>
      <w:r w:rsidRPr="00130AD9">
        <w:rPr>
          <w:b/>
        </w:rPr>
        <w:t xml:space="preserve">: </w:t>
      </w:r>
      <w:r w:rsidRPr="00B07B12">
        <w:rPr>
          <w:bCs/>
        </w:rPr>
        <w:t>Ensuring </w:t>
      </w:r>
      <w:r w:rsidRPr="00130AD9">
        <w:rPr>
          <w:rStyle w:val="Strong"/>
          <w:b w:val="0"/>
          <w:bCs w:val="0"/>
        </w:rPr>
        <w:t>social workers and partners</w:t>
      </w:r>
      <w:r w:rsidRPr="00130AD9">
        <w:rPr>
          <w:b/>
        </w:rPr>
        <w:t> </w:t>
      </w:r>
      <w:r w:rsidRPr="00B07B12">
        <w:rPr>
          <w:bCs/>
        </w:rPr>
        <w:t>are equipped to support individuals with</w:t>
      </w:r>
      <w:r w:rsidRPr="00130AD9">
        <w:rPr>
          <w:b/>
        </w:rPr>
        <w:t> </w:t>
      </w:r>
      <w:r w:rsidRPr="00130AD9">
        <w:rPr>
          <w:rStyle w:val="Strong"/>
          <w:b w:val="0"/>
          <w:bCs w:val="0"/>
        </w:rPr>
        <w:t>complex needs</w:t>
      </w:r>
      <w:r w:rsidRPr="00130AD9">
        <w:rPr>
          <w:b/>
        </w:rPr>
        <w:t>.</w:t>
      </w:r>
    </w:p>
    <w:p w14:paraId="43178A94" w14:textId="77777777" w:rsidR="00130AD9" w:rsidRPr="00130AD9" w:rsidRDefault="00130AD9" w:rsidP="001223CA">
      <w:pPr>
        <w:numPr>
          <w:ilvl w:val="0"/>
          <w:numId w:val="29"/>
        </w:numPr>
        <w:spacing w:before="100" w:beforeAutospacing="1" w:after="100" w:afterAutospacing="1" w:line="240" w:lineRule="auto"/>
        <w:rPr>
          <w:b/>
        </w:rPr>
      </w:pPr>
      <w:r w:rsidRPr="00130AD9">
        <w:rPr>
          <w:rStyle w:val="Strong"/>
          <w:b w:val="0"/>
          <w:bCs w:val="0"/>
        </w:rPr>
        <w:t>COPFS Collaboration</w:t>
      </w:r>
      <w:r w:rsidRPr="00130AD9">
        <w:rPr>
          <w:b/>
        </w:rPr>
        <w:t xml:space="preserve">: </w:t>
      </w:r>
      <w:r w:rsidRPr="00B07B12">
        <w:rPr>
          <w:bCs/>
        </w:rPr>
        <w:t>While some areas report</w:t>
      </w:r>
      <w:r w:rsidRPr="00130AD9">
        <w:rPr>
          <w:b/>
        </w:rPr>
        <w:t> </w:t>
      </w:r>
      <w:r w:rsidRPr="00130AD9">
        <w:rPr>
          <w:rStyle w:val="Strong"/>
          <w:b w:val="0"/>
          <w:bCs w:val="0"/>
        </w:rPr>
        <w:t>improved engagement with COPFS</w:t>
      </w:r>
      <w:r w:rsidRPr="00130AD9">
        <w:rPr>
          <w:b/>
        </w:rPr>
        <w:t xml:space="preserve">, </w:t>
      </w:r>
      <w:r w:rsidRPr="00B07B12">
        <w:rPr>
          <w:bCs/>
        </w:rPr>
        <w:t>inconsistencies remain due to</w:t>
      </w:r>
      <w:r w:rsidRPr="00130AD9">
        <w:rPr>
          <w:b/>
        </w:rPr>
        <w:t> </w:t>
      </w:r>
      <w:r w:rsidRPr="00130AD9">
        <w:rPr>
          <w:rStyle w:val="Strong"/>
          <w:b w:val="0"/>
          <w:bCs w:val="0"/>
        </w:rPr>
        <w:t>disconnects between centrali</w:t>
      </w:r>
      <w:r>
        <w:rPr>
          <w:rStyle w:val="Strong"/>
          <w:b w:val="0"/>
          <w:bCs w:val="0"/>
        </w:rPr>
        <w:t>s</w:t>
      </w:r>
      <w:r w:rsidRPr="00130AD9">
        <w:rPr>
          <w:rStyle w:val="Strong"/>
          <w:b w:val="0"/>
          <w:bCs w:val="0"/>
        </w:rPr>
        <w:t>ed case marking and local delivery systems</w:t>
      </w:r>
      <w:r w:rsidRPr="00130AD9">
        <w:rPr>
          <w:b/>
        </w:rPr>
        <w:t>.</w:t>
      </w:r>
    </w:p>
    <w:p w14:paraId="792C2BB3" w14:textId="77777777" w:rsidR="00130AD9" w:rsidRPr="00130AD9" w:rsidRDefault="00130AD9" w:rsidP="00130AD9">
      <w:pPr>
        <w:spacing w:before="100" w:beforeAutospacing="1" w:after="100" w:afterAutospacing="1"/>
        <w:rPr>
          <w:b/>
          <w:bCs/>
        </w:rPr>
      </w:pPr>
      <w:r>
        <w:t>These concerns have been addressed in the </w:t>
      </w:r>
      <w:r>
        <w:rPr>
          <w:rStyle w:val="Strong"/>
        </w:rPr>
        <w:t>revised practice guidance for diversion</w:t>
      </w:r>
      <w:r>
        <w:t>, scheduled for publication in </w:t>
      </w:r>
      <w:r>
        <w:rPr>
          <w:rStyle w:val="Strong"/>
        </w:rPr>
        <w:t>2025</w:t>
      </w:r>
      <w:r>
        <w:t>. The </w:t>
      </w:r>
      <w:r>
        <w:rPr>
          <w:rStyle w:val="Strong"/>
        </w:rPr>
        <w:t>working group responsible for drafting this guidance</w:t>
      </w:r>
      <w:r>
        <w:t> will transition into an </w:t>
      </w:r>
      <w:r>
        <w:rPr>
          <w:rStyle w:val="Strong"/>
        </w:rPr>
        <w:t>oversight body</w:t>
      </w:r>
      <w:r>
        <w:t>, ensuring</w:t>
      </w:r>
      <w:r w:rsidRPr="00B07B12">
        <w:t xml:space="preserve"> that</w:t>
      </w:r>
      <w:r w:rsidRPr="00130AD9">
        <w:rPr>
          <w:b/>
          <w:bCs/>
        </w:rPr>
        <w:t> </w:t>
      </w:r>
      <w:r w:rsidRPr="00130AD9">
        <w:rPr>
          <w:rStyle w:val="Strong"/>
          <w:b w:val="0"/>
        </w:rPr>
        <w:t>implementation remains a continuous improvement priority</w:t>
      </w:r>
      <w:r w:rsidRPr="00130AD9">
        <w:rPr>
          <w:b/>
          <w:bCs/>
        </w:rPr>
        <w:t>.</w:t>
      </w:r>
    </w:p>
    <w:p w14:paraId="2E956D5C" w14:textId="77777777" w:rsidR="00130AD9" w:rsidRDefault="00130AD9" w:rsidP="00130AD9">
      <w:pPr>
        <w:spacing w:before="100" w:beforeAutospacing="1" w:after="100" w:afterAutospacing="1"/>
      </w:pPr>
      <w:r>
        <w:t>Several local partnerships are improving how they</w:t>
      </w:r>
      <w:r w:rsidRPr="00D03026">
        <w:rPr>
          <w:bCs/>
        </w:rPr>
        <w:t> </w:t>
      </w:r>
      <w:r w:rsidRPr="00130AD9">
        <w:rPr>
          <w:rStyle w:val="Strong"/>
          <w:b w:val="0"/>
          <w:bCs w:val="0"/>
        </w:rPr>
        <w:t>collect and monitor diversion data</w:t>
      </w:r>
      <w:r>
        <w:t>. However, further work is needed to ensure this remains </w:t>
      </w:r>
      <w:r w:rsidRPr="00130AD9">
        <w:rPr>
          <w:rStyle w:val="Strong"/>
          <w:b w:val="0"/>
          <w:bCs w:val="0"/>
        </w:rPr>
        <w:t>proportionate and effective</w:t>
      </w:r>
      <w:r w:rsidRPr="00130AD9">
        <w:rPr>
          <w:b/>
        </w:rPr>
        <w:t> </w:t>
      </w:r>
      <w:r>
        <w:t>across different local models.</w:t>
      </w:r>
    </w:p>
    <w:p w14:paraId="35913BAA" w14:textId="77777777" w:rsidR="00130AD9" w:rsidRDefault="00130AD9" w:rsidP="001223CA">
      <w:pPr>
        <w:numPr>
          <w:ilvl w:val="0"/>
          <w:numId w:val="30"/>
        </w:numPr>
        <w:spacing w:before="100" w:beforeAutospacing="1" w:after="100" w:afterAutospacing="1" w:line="240" w:lineRule="auto"/>
      </w:pPr>
      <w:r w:rsidRPr="00130AD9">
        <w:rPr>
          <w:rStyle w:val="Strong"/>
          <w:b w:val="0"/>
          <w:bCs w:val="0"/>
        </w:rPr>
        <w:t>Police Scotland</w:t>
      </w:r>
      <w:r>
        <w:t> is working to enhance the</w:t>
      </w:r>
      <w:r w:rsidRPr="00FB1724">
        <w:t> </w:t>
      </w:r>
      <w:r w:rsidRPr="00130AD9">
        <w:rPr>
          <w:rStyle w:val="Strong"/>
          <w:b w:val="0"/>
        </w:rPr>
        <w:t>quality and consistency of Standard Prosecution Reports (SPRs)</w:t>
      </w:r>
      <w:r w:rsidRPr="00130AD9">
        <w:rPr>
          <w:b/>
          <w:bCs/>
        </w:rPr>
        <w:t> </w:t>
      </w:r>
      <w:r>
        <w:t>to </w:t>
      </w:r>
      <w:r w:rsidRPr="00130AD9">
        <w:rPr>
          <w:rStyle w:val="Strong"/>
          <w:b w:val="0"/>
          <w:bCs w:val="0"/>
        </w:rPr>
        <w:t>improve diversion decision-making</w:t>
      </w:r>
      <w:r>
        <w:t>.</w:t>
      </w:r>
    </w:p>
    <w:p w14:paraId="1FAAA90C" w14:textId="77777777" w:rsidR="00130AD9" w:rsidRDefault="00130AD9" w:rsidP="001223CA">
      <w:pPr>
        <w:numPr>
          <w:ilvl w:val="0"/>
          <w:numId w:val="30"/>
        </w:numPr>
        <w:spacing w:before="100" w:beforeAutospacing="1" w:after="100" w:afterAutospacing="1" w:line="240" w:lineRule="auto"/>
      </w:pPr>
      <w:r w:rsidRPr="00130AD9">
        <w:rPr>
          <w:rStyle w:val="Strong"/>
          <w:b w:val="0"/>
          <w:bCs w:val="0"/>
        </w:rPr>
        <w:lastRenderedPageBreak/>
        <w:t>Gaps remain</w:t>
      </w:r>
      <w:r>
        <w:t> in evaluating </w:t>
      </w:r>
      <w:r w:rsidRPr="00130AD9">
        <w:rPr>
          <w:rStyle w:val="Strong"/>
          <w:b w:val="0"/>
          <w:bCs w:val="0"/>
        </w:rPr>
        <w:t>SPR quality assurance</w:t>
      </w:r>
      <w:r w:rsidRPr="00130AD9">
        <w:rPr>
          <w:b/>
        </w:rPr>
        <w:t>,</w:t>
      </w:r>
      <w:r>
        <w:t xml:space="preserve"> including whether </w:t>
      </w:r>
      <w:r w:rsidRPr="00130AD9">
        <w:rPr>
          <w:rStyle w:val="Strong"/>
          <w:b w:val="0"/>
          <w:bCs w:val="0"/>
        </w:rPr>
        <w:t>feedback loops exist</w:t>
      </w:r>
      <w:r>
        <w:t> to help police identify </w:t>
      </w:r>
      <w:r w:rsidRPr="00130AD9">
        <w:rPr>
          <w:rStyle w:val="Strong"/>
          <w:b w:val="0"/>
          <w:bCs w:val="0"/>
        </w:rPr>
        <w:t>missed diversion opportunities</w:t>
      </w:r>
      <w:r>
        <w:t> and improve future reports.</w:t>
      </w:r>
    </w:p>
    <w:p w14:paraId="7124055A" w14:textId="77777777" w:rsidR="00130AD9" w:rsidRPr="00130AD9" w:rsidRDefault="00130AD9" w:rsidP="00130AD9">
      <w:pPr>
        <w:pStyle w:val="Heading4"/>
        <w:rPr>
          <w:rFonts w:eastAsia="Times New Roman"/>
          <w:b/>
          <w:bCs/>
          <w:i w:val="0"/>
          <w:iCs w:val="0"/>
          <w:sz w:val="28"/>
          <w:szCs w:val="28"/>
          <w:u w:val="single"/>
        </w:rPr>
      </w:pPr>
      <w:r w:rsidRPr="00130AD9">
        <w:rPr>
          <w:rStyle w:val="Strong"/>
          <w:rFonts w:eastAsia="Times New Roman"/>
          <w:i w:val="0"/>
          <w:iCs w:val="0"/>
          <w:sz w:val="28"/>
          <w:szCs w:val="28"/>
          <w:u w:val="single"/>
        </w:rPr>
        <w:t>Equality and Inclusion in Diversion</w:t>
      </w:r>
    </w:p>
    <w:p w14:paraId="0DEE3F4A" w14:textId="77777777" w:rsidR="00130AD9" w:rsidRDefault="00130AD9" w:rsidP="00130AD9">
      <w:pPr>
        <w:spacing w:before="100" w:beforeAutospacing="1" w:after="100" w:afterAutospacing="1"/>
      </w:pPr>
      <w:r>
        <w:t>There is </w:t>
      </w:r>
      <w:r>
        <w:rPr>
          <w:rStyle w:val="Strong"/>
        </w:rPr>
        <w:t>insufficient data</w:t>
      </w:r>
      <w:r>
        <w:t> on how diversion operates for </w:t>
      </w:r>
      <w:r w:rsidRPr="00130AD9">
        <w:rPr>
          <w:rStyle w:val="Strong"/>
          <w:b w:val="0"/>
          <w:bCs w:val="0"/>
        </w:rPr>
        <w:t>individuals with protected characteristics</w:t>
      </w:r>
      <w:r>
        <w:t>, particularly those with </w:t>
      </w:r>
      <w:r w:rsidRPr="00130AD9">
        <w:rPr>
          <w:rStyle w:val="Strong"/>
          <w:b w:val="0"/>
          <w:bCs w:val="0"/>
        </w:rPr>
        <w:t>learning disabilities or neurodiversity</w:t>
      </w:r>
      <w:r>
        <w:t>.</w:t>
      </w:r>
    </w:p>
    <w:p w14:paraId="07FEBB73" w14:textId="77777777" w:rsidR="00130AD9" w:rsidRDefault="00130AD9" w:rsidP="00130AD9">
      <w:pPr>
        <w:spacing w:before="100" w:beforeAutospacing="1" w:after="100" w:afterAutospacing="1"/>
      </w:pPr>
      <w:r>
        <w:t>More evidence is needed to:</w:t>
      </w:r>
    </w:p>
    <w:p w14:paraId="5269DBC8" w14:textId="77777777" w:rsidR="00130AD9" w:rsidRDefault="00130AD9" w:rsidP="001223CA">
      <w:pPr>
        <w:numPr>
          <w:ilvl w:val="0"/>
          <w:numId w:val="31"/>
        </w:numPr>
        <w:spacing w:before="100" w:beforeAutospacing="1" w:after="100" w:afterAutospacing="1" w:line="240" w:lineRule="auto"/>
      </w:pPr>
      <w:r>
        <w:t>Ensure </w:t>
      </w:r>
      <w:r w:rsidRPr="00130AD9">
        <w:rPr>
          <w:rStyle w:val="Strong"/>
          <w:b w:val="0"/>
          <w:bCs w:val="0"/>
        </w:rPr>
        <w:t>diversion opportunities are applied fairly</w:t>
      </w:r>
      <w:r w:rsidRPr="00130AD9">
        <w:rPr>
          <w:b/>
        </w:rPr>
        <w:t> </w:t>
      </w:r>
      <w:r w:rsidRPr="00DF1EF1">
        <w:rPr>
          <w:bCs/>
        </w:rPr>
        <w:t>and do not</w:t>
      </w:r>
      <w:r w:rsidRPr="00130AD9">
        <w:rPr>
          <w:b/>
        </w:rPr>
        <w:t> </w:t>
      </w:r>
      <w:r w:rsidRPr="00130AD9">
        <w:rPr>
          <w:rStyle w:val="Strong"/>
          <w:b w:val="0"/>
          <w:bCs w:val="0"/>
        </w:rPr>
        <w:t>unintentionally discriminate</w:t>
      </w:r>
      <w:r>
        <w:t>.</w:t>
      </w:r>
    </w:p>
    <w:p w14:paraId="4221598E" w14:textId="77777777" w:rsidR="00130AD9" w:rsidRDefault="00130AD9" w:rsidP="001223CA">
      <w:pPr>
        <w:numPr>
          <w:ilvl w:val="0"/>
          <w:numId w:val="31"/>
        </w:numPr>
        <w:spacing w:before="100" w:beforeAutospacing="1" w:after="100" w:afterAutospacing="1" w:line="240" w:lineRule="auto"/>
      </w:pPr>
      <w:r>
        <w:t>Demonstrate that </w:t>
      </w:r>
      <w:r w:rsidRPr="00130AD9">
        <w:rPr>
          <w:rStyle w:val="Strong"/>
          <w:b w:val="0"/>
          <w:bCs w:val="0"/>
        </w:rPr>
        <w:t>the public sector equality duty</w:t>
      </w:r>
      <w:r>
        <w:t> is being met in ways that lead to </w:t>
      </w:r>
      <w:r w:rsidRPr="00130AD9">
        <w:rPr>
          <w:rStyle w:val="Strong"/>
          <w:b w:val="0"/>
          <w:bCs w:val="0"/>
        </w:rPr>
        <w:t>positive justice outcomes</w:t>
      </w:r>
      <w:r>
        <w:t>.</w:t>
      </w:r>
    </w:p>
    <w:p w14:paraId="14756485" w14:textId="77777777" w:rsidR="00130AD9" w:rsidRPr="00130AD9" w:rsidRDefault="00130AD9" w:rsidP="001223CA">
      <w:pPr>
        <w:numPr>
          <w:ilvl w:val="0"/>
          <w:numId w:val="31"/>
        </w:numPr>
        <w:spacing w:before="100" w:beforeAutospacing="1" w:after="100" w:afterAutospacing="1" w:line="240" w:lineRule="auto"/>
        <w:rPr>
          <w:b/>
        </w:rPr>
      </w:pPr>
      <w:r>
        <w:t>Identify </w:t>
      </w:r>
      <w:r w:rsidRPr="00130AD9">
        <w:rPr>
          <w:rStyle w:val="Strong"/>
          <w:b w:val="0"/>
          <w:bCs w:val="0"/>
        </w:rPr>
        <w:t>missed opportunities</w:t>
      </w:r>
      <w:r>
        <w:t> for using </w:t>
      </w:r>
      <w:r w:rsidRPr="00130AD9">
        <w:rPr>
          <w:rStyle w:val="Strong"/>
          <w:b w:val="0"/>
          <w:bCs w:val="0"/>
        </w:rPr>
        <w:t>diversion and other early intervention processes</w:t>
      </w:r>
      <w:r w:rsidRPr="00130AD9">
        <w:rPr>
          <w:b/>
        </w:rPr>
        <w:t>.</w:t>
      </w:r>
    </w:p>
    <w:p w14:paraId="769E042D" w14:textId="77777777" w:rsidR="00130AD9" w:rsidRPr="00130AD9" w:rsidRDefault="00130AD9" w:rsidP="00130AD9">
      <w:pPr>
        <w:pStyle w:val="Heading4"/>
        <w:rPr>
          <w:rFonts w:eastAsia="Times New Roman"/>
          <w:b/>
          <w:bCs/>
          <w:i w:val="0"/>
          <w:iCs w:val="0"/>
          <w:sz w:val="28"/>
          <w:szCs w:val="28"/>
        </w:rPr>
      </w:pPr>
      <w:r w:rsidRPr="00130AD9">
        <w:rPr>
          <w:rStyle w:val="Strong"/>
          <w:rFonts w:eastAsia="Times New Roman"/>
          <w:i w:val="0"/>
          <w:iCs w:val="0"/>
          <w:sz w:val="28"/>
          <w:szCs w:val="28"/>
        </w:rPr>
        <w:t>Role of the Third Sector</w:t>
      </w:r>
    </w:p>
    <w:p w14:paraId="27132597" w14:textId="77777777" w:rsidR="00130AD9" w:rsidRDefault="00130AD9" w:rsidP="00130AD9">
      <w:pPr>
        <w:spacing w:before="100" w:beforeAutospacing="1" w:after="100" w:afterAutospacing="1"/>
      </w:pPr>
      <w:r>
        <w:t>Third-sector organisations remain </w:t>
      </w:r>
      <w:r w:rsidRPr="00130AD9">
        <w:rPr>
          <w:rStyle w:val="Strong"/>
          <w:b w:val="0"/>
          <w:bCs w:val="0"/>
        </w:rPr>
        <w:t>critical partners</w:t>
      </w:r>
      <w:r>
        <w:t> in diversion delivery. Several organisations were </w:t>
      </w:r>
      <w:r w:rsidRPr="00130AD9">
        <w:rPr>
          <w:rStyle w:val="Strong"/>
          <w:b w:val="0"/>
          <w:bCs w:val="0"/>
        </w:rPr>
        <w:t>specifically mentioned by local areas</w:t>
      </w:r>
      <w:r>
        <w:t>, including:</w:t>
      </w:r>
    </w:p>
    <w:p w14:paraId="2495D36B"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Access to Industry</w:t>
      </w:r>
    </w:p>
    <w:p w14:paraId="22DC873D"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Alcohol and Drugs Action (Aberdeen)</w:t>
      </w:r>
    </w:p>
    <w:p w14:paraId="013D0110"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Apex Scotland</w:t>
      </w:r>
    </w:p>
    <w:p w14:paraId="1C5E6462"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Barnardo’s</w:t>
      </w:r>
    </w:p>
    <w:p w14:paraId="6C3DC576"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Enable Works</w:t>
      </w:r>
    </w:p>
    <w:p w14:paraId="18CD3E9C"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Sacro</w:t>
      </w:r>
    </w:p>
    <w:p w14:paraId="14E7B6C6" w14:textId="77777777" w:rsidR="00130AD9" w:rsidRPr="00130AD9" w:rsidRDefault="00130AD9" w:rsidP="001223CA">
      <w:pPr>
        <w:numPr>
          <w:ilvl w:val="0"/>
          <w:numId w:val="32"/>
        </w:numPr>
        <w:spacing w:before="100" w:beforeAutospacing="1" w:after="100" w:afterAutospacing="1" w:line="240" w:lineRule="auto"/>
        <w:rPr>
          <w:b/>
        </w:rPr>
      </w:pPr>
      <w:r w:rsidRPr="00130AD9">
        <w:rPr>
          <w:rStyle w:val="Strong"/>
          <w:b w:val="0"/>
          <w:bCs w:val="0"/>
        </w:rPr>
        <w:t>RCA Trust</w:t>
      </w:r>
    </w:p>
    <w:p w14:paraId="185B8414" w14:textId="77777777" w:rsidR="00130AD9" w:rsidRDefault="00130AD9" w:rsidP="00130AD9">
      <w:pPr>
        <w:jc w:val="center"/>
        <w:rPr>
          <w:rFonts w:eastAsia="Times New Roman"/>
        </w:rPr>
      </w:pPr>
    </w:p>
    <w:p w14:paraId="09E6A4F2" w14:textId="77777777" w:rsidR="00130AD9" w:rsidRDefault="00130AD9" w:rsidP="00130AD9">
      <w:pPr>
        <w:pStyle w:val="Heading3"/>
      </w:pPr>
      <w:r>
        <w:t>Next Steps</w:t>
      </w:r>
    </w:p>
    <w:p w14:paraId="70529BCC" w14:textId="77777777" w:rsidR="00130AD9" w:rsidRDefault="00130AD9" w:rsidP="00130AD9">
      <w:pPr>
        <w:spacing w:before="100" w:beforeAutospacing="1" w:after="100" w:afterAutospacing="1"/>
      </w:pPr>
      <w:r>
        <w:t>With the </w:t>
      </w:r>
      <w:r w:rsidRPr="00130AD9">
        <w:rPr>
          <w:rStyle w:val="Strong"/>
          <w:b w:val="0"/>
          <w:bCs w:val="0"/>
        </w:rPr>
        <w:t>joint review of diversion from prosecution recently published</w:t>
      </w:r>
      <w:r w:rsidRPr="00130AD9">
        <w:rPr>
          <w:b/>
        </w:rPr>
        <w:t xml:space="preserve">, </w:t>
      </w:r>
      <w:r w:rsidRPr="00DF1EF1">
        <w:rPr>
          <w:bCs/>
        </w:rPr>
        <w:t>the </w:t>
      </w:r>
      <w:r w:rsidRPr="00130AD9">
        <w:rPr>
          <w:rStyle w:val="Strong"/>
          <w:b w:val="0"/>
          <w:bCs w:val="0"/>
        </w:rPr>
        <w:t>primary focus remains on implementing and reviewing its recommendations</w:t>
      </w:r>
      <w:r>
        <w:t>.</w:t>
      </w:r>
    </w:p>
    <w:p w14:paraId="2C2FD0AE" w14:textId="77777777" w:rsidR="00130AD9" w:rsidRDefault="00130AD9" w:rsidP="00130AD9">
      <w:pPr>
        <w:spacing w:before="100" w:beforeAutospacing="1" w:after="100" w:afterAutospacing="1"/>
      </w:pPr>
      <w:r>
        <w:t>Moving forward, key priorities include:</w:t>
      </w:r>
    </w:p>
    <w:p w14:paraId="41656885" w14:textId="77777777" w:rsidR="00130AD9" w:rsidRDefault="00130AD9" w:rsidP="001223CA">
      <w:pPr>
        <w:numPr>
          <w:ilvl w:val="0"/>
          <w:numId w:val="33"/>
        </w:numPr>
        <w:spacing w:before="100" w:beforeAutospacing="1" w:after="100" w:afterAutospacing="1" w:line="240" w:lineRule="auto"/>
      </w:pPr>
      <w:r>
        <w:rPr>
          <w:rStyle w:val="Strong"/>
        </w:rPr>
        <w:t>Ensuring sustainable funding</w:t>
      </w:r>
      <w:r>
        <w:t> for community services supporting diversion.</w:t>
      </w:r>
    </w:p>
    <w:p w14:paraId="6A6790D4" w14:textId="77777777" w:rsidR="00130AD9" w:rsidRDefault="00130AD9" w:rsidP="001223CA">
      <w:pPr>
        <w:numPr>
          <w:ilvl w:val="0"/>
          <w:numId w:val="33"/>
        </w:numPr>
        <w:spacing w:before="100" w:beforeAutospacing="1" w:after="100" w:afterAutospacing="1" w:line="240" w:lineRule="auto"/>
      </w:pPr>
      <w:r>
        <w:rPr>
          <w:rStyle w:val="Strong"/>
        </w:rPr>
        <w:t>Addressing inconsistencies</w:t>
      </w:r>
      <w:r>
        <w:t> in COPFS case marking and local delivery.</w:t>
      </w:r>
    </w:p>
    <w:p w14:paraId="222BFF0B" w14:textId="77777777" w:rsidR="00130AD9" w:rsidRDefault="00130AD9" w:rsidP="001223CA">
      <w:pPr>
        <w:numPr>
          <w:ilvl w:val="0"/>
          <w:numId w:val="33"/>
        </w:numPr>
        <w:spacing w:before="100" w:beforeAutospacing="1" w:after="100" w:afterAutospacing="1" w:line="240" w:lineRule="auto"/>
      </w:pPr>
      <w:r>
        <w:rPr>
          <w:rStyle w:val="Strong"/>
        </w:rPr>
        <w:t>Improving data collection</w:t>
      </w:r>
      <w:r>
        <w:t> to assess effectiveness and equity in diversion use.</w:t>
      </w:r>
    </w:p>
    <w:p w14:paraId="0CE3FD4D" w14:textId="77777777" w:rsidR="00130AD9" w:rsidRDefault="00130AD9" w:rsidP="001223CA">
      <w:pPr>
        <w:numPr>
          <w:ilvl w:val="0"/>
          <w:numId w:val="33"/>
        </w:numPr>
        <w:spacing w:before="100" w:beforeAutospacing="1" w:after="100" w:afterAutospacing="1" w:line="240" w:lineRule="auto"/>
      </w:pPr>
      <w:r>
        <w:rPr>
          <w:rStyle w:val="Strong"/>
        </w:rPr>
        <w:t>Enhancing training and resources</w:t>
      </w:r>
      <w:r>
        <w:t> for JSW and police to support individuals with complex needs.</w:t>
      </w:r>
    </w:p>
    <w:p w14:paraId="21791E35" w14:textId="77777777" w:rsidR="00130AD9" w:rsidRDefault="00130AD9" w:rsidP="00130AD9">
      <w:pPr>
        <w:spacing w:before="100" w:beforeAutospacing="1" w:after="100" w:afterAutospacing="1"/>
      </w:pPr>
      <w:r>
        <w:lastRenderedPageBreak/>
        <w:t>By addressing these issues, Scotland can move towards a </w:t>
      </w:r>
      <w:r w:rsidRPr="00130AD9">
        <w:rPr>
          <w:rStyle w:val="Strong"/>
          <w:b w:val="0"/>
          <w:bCs w:val="0"/>
        </w:rPr>
        <w:t>more effective, person-centred justice system</w:t>
      </w:r>
      <w:r>
        <w:t> where </w:t>
      </w:r>
      <w:r>
        <w:rPr>
          <w:rStyle w:val="Strong"/>
        </w:rPr>
        <w:t>diversion is maximised as an alternative to prosecution</w:t>
      </w:r>
      <w:r>
        <w:t>.</w:t>
      </w:r>
    </w:p>
    <w:p w14:paraId="0AF5C251" w14:textId="77777777" w:rsidR="00CA2AB5" w:rsidRPr="00623EE6" w:rsidRDefault="00CA2AB5" w:rsidP="003F3086">
      <w:pPr>
        <w:pStyle w:val="Heading2"/>
        <w:rPr>
          <w:lang w:val="en-GB"/>
        </w:rPr>
        <w:sectPr w:rsidR="00CA2AB5" w:rsidRPr="00623EE6" w:rsidSect="00F22C87">
          <w:pgSz w:w="11906" w:h="16838" w:code="9"/>
          <w:pgMar w:top="1440" w:right="1440" w:bottom="1440" w:left="1440" w:header="720" w:footer="720" w:gutter="0"/>
          <w:cols w:space="708"/>
          <w:titlePg/>
          <w:docGrid w:linePitch="360"/>
        </w:sectPr>
      </w:pPr>
    </w:p>
    <w:p w14:paraId="2234C7B1" w14:textId="27D1FD8A" w:rsidR="00D27E71" w:rsidRPr="00623EE6" w:rsidRDefault="00947F5A" w:rsidP="003F3086">
      <w:pPr>
        <w:pStyle w:val="Heading2"/>
        <w:rPr>
          <w:lang w:val="en-GB"/>
        </w:rPr>
      </w:pPr>
      <w:bookmarkStart w:id="11" w:name="_Toc193901787"/>
      <w:r w:rsidRPr="00623EE6">
        <w:rPr>
          <w:lang w:val="en-GB"/>
        </w:rPr>
        <w:lastRenderedPageBreak/>
        <w:t>Priority Action 2:</w:t>
      </w:r>
      <w:r w:rsidR="00A54298" w:rsidRPr="00623EE6">
        <w:rPr>
          <w:lang w:val="en-GB"/>
        </w:rPr>
        <w:t xml:space="preserve"> </w:t>
      </w:r>
      <w:r w:rsidRPr="00623EE6">
        <w:rPr>
          <w:lang w:val="en-GB"/>
        </w:rPr>
        <w:t>Improve the identification of underlying needs and the delivery of support following arrest by ensuring the provision of person-centred care within police custody and building upon referral opportunities to services including substance use and mental health services</w:t>
      </w:r>
      <w:bookmarkEnd w:id="11"/>
    </w:p>
    <w:p w14:paraId="712A3322" w14:textId="77777777" w:rsidR="00C41D69" w:rsidRPr="00623EE6" w:rsidRDefault="00C41D69" w:rsidP="00C41D69">
      <w:pPr>
        <w:pStyle w:val="Heading3"/>
      </w:pPr>
      <w:r w:rsidRPr="00623EE6">
        <w:t>Performance</w:t>
      </w:r>
    </w:p>
    <w:p w14:paraId="7AF8A1F3" w14:textId="77777777" w:rsidR="00C41D69" w:rsidRPr="00623EE6" w:rsidRDefault="00C41D69" w:rsidP="00C41D69">
      <w:pPr>
        <w:rPr>
          <w:b/>
          <w:bCs/>
          <w:color w:val="auto"/>
        </w:rPr>
      </w:pPr>
      <w:r w:rsidRPr="00623EE6">
        <w:rPr>
          <w:b/>
          <w:bCs/>
          <w:color w:val="auto"/>
        </w:rPr>
        <w:t>National outcome</w:t>
      </w:r>
    </w:p>
    <w:p w14:paraId="2F69D832" w14:textId="77777777" w:rsidR="00C41D69" w:rsidRPr="00623EE6" w:rsidRDefault="00C41D69" w:rsidP="00C41D69">
      <w:pPr>
        <w:rPr>
          <w:color w:val="auto"/>
        </w:rPr>
      </w:pPr>
      <w:r w:rsidRPr="00623EE6">
        <w:rPr>
          <w:color w:val="auto"/>
        </w:rPr>
        <w:t>More people in police custody receive support to address their needs</w:t>
      </w:r>
    </w:p>
    <w:p w14:paraId="0A97C5D1" w14:textId="77777777" w:rsidR="00C41D69" w:rsidRPr="00623EE6" w:rsidRDefault="00C41D69" w:rsidP="00C41D69">
      <w:pPr>
        <w:rPr>
          <w:b/>
          <w:bCs/>
          <w:color w:val="auto"/>
        </w:rPr>
      </w:pPr>
      <w:r w:rsidRPr="00623EE6">
        <w:rPr>
          <w:b/>
          <w:bCs/>
          <w:color w:val="auto"/>
        </w:rPr>
        <w:t>National indicator</w:t>
      </w:r>
    </w:p>
    <w:p w14:paraId="7B8C999F" w14:textId="77777777" w:rsidR="00C41D69" w:rsidRPr="00623EE6" w:rsidRDefault="00C41D69" w:rsidP="00C41D69">
      <w:pPr>
        <w:rPr>
          <w:color w:val="auto"/>
        </w:rPr>
      </w:pPr>
      <w:r w:rsidRPr="00623EE6">
        <w:rPr>
          <w:color w:val="auto"/>
        </w:rPr>
        <w:t>Number of referrals from custody centres</w:t>
      </w:r>
    </w:p>
    <w:p w14:paraId="5BEE5987" w14:textId="77777777" w:rsidR="00C41D69" w:rsidRPr="00623EE6" w:rsidRDefault="00C41D69" w:rsidP="00C41D69">
      <w:pPr>
        <w:rPr>
          <w:color w:val="auto"/>
        </w:rPr>
      </w:pPr>
      <w:r w:rsidRPr="00623EE6">
        <w:rPr>
          <w:color w:val="auto"/>
        </w:rPr>
        <w:t>There was a drop in referrals to support organisations from Police Scotland. 1,010 referrals from police custody centres were made in 2023-24. This is a decrease of 25% from 2022-23 when 1,339 referrals were made.</w:t>
      </w:r>
      <w:r w:rsidRPr="00623EE6">
        <w:rPr>
          <w:rStyle w:val="FootnoteReference"/>
          <w:color w:val="auto"/>
        </w:rPr>
        <w:footnoteReference w:id="25"/>
      </w:r>
    </w:p>
    <w:p w14:paraId="61ED781E" w14:textId="77777777" w:rsidR="00C41D69" w:rsidRPr="00623EE6" w:rsidRDefault="00C41D69" w:rsidP="00C41D69">
      <w:pPr>
        <w:rPr>
          <w:i/>
          <w:iCs/>
          <w:color w:val="auto"/>
        </w:rPr>
      </w:pPr>
      <w:r w:rsidRPr="00623EE6">
        <w:rPr>
          <w:color w:val="auto"/>
        </w:rPr>
        <w:t>This appears to be mainly driven by a change in referral process linked to compliance with information-sharing legislation. Police Scotland liaised with partners to resolve the problem with a revised referral process which was implemented after the reporting year. There are also plans to develop a working group for arrest referral. There are limitations in what is counted within this figure and there are plans to include data relating to third sector organisations that work inside police custody settings.</w:t>
      </w:r>
    </w:p>
    <w:p w14:paraId="6E25FC33" w14:textId="77777777" w:rsidR="00C41D69" w:rsidRPr="00623EE6" w:rsidRDefault="00C41D69" w:rsidP="00C41D69">
      <w:pPr>
        <w:rPr>
          <w:color w:val="auto"/>
        </w:rPr>
      </w:pPr>
      <w:r w:rsidRPr="00623EE6">
        <w:rPr>
          <w:color w:val="auto"/>
        </w:rPr>
        <w:t>7,246 people in police custody were seen by NHS partners. This is a year-on-year increase of 2.1%.</w:t>
      </w:r>
    </w:p>
    <w:p w14:paraId="4249208C" w14:textId="77777777" w:rsidR="00C41D69" w:rsidRPr="00623EE6" w:rsidRDefault="00C41D69" w:rsidP="00C41D69">
      <w:pPr>
        <w:rPr>
          <w:color w:val="auto"/>
        </w:rPr>
      </w:pPr>
      <w:r w:rsidRPr="00623EE6">
        <w:rPr>
          <w:color w:val="auto"/>
        </w:rPr>
        <w:t xml:space="preserve">There is no record of the number of people who require to be supported by an appropriate adult due to learning disability, autism and neurodiversity. </w:t>
      </w:r>
    </w:p>
    <w:p w14:paraId="0A72639E" w14:textId="77777777" w:rsidR="00C41D69" w:rsidRPr="00623EE6" w:rsidRDefault="00C41D69" w:rsidP="00C41D69">
      <w:pPr>
        <w:rPr>
          <w:color w:val="auto"/>
        </w:rPr>
      </w:pPr>
      <w:r w:rsidRPr="00623EE6">
        <w:rPr>
          <w:color w:val="auto"/>
        </w:rPr>
        <w:t>The number of individuals who disclose vulnerabilities when they enter police custody is rising. This provides greater awareness of their needs and the services they require. The gradual development of a more trauma-informed justice system is likely to continually reveal additional evidence of need for services and opportunities inside police custody to address structural health and wellbeing inequalities.</w:t>
      </w:r>
    </w:p>
    <w:p w14:paraId="6164662F" w14:textId="77777777" w:rsidR="00C41D69" w:rsidRPr="00623EE6" w:rsidRDefault="00C41D69" w:rsidP="00C41D69">
      <w:pPr>
        <w:rPr>
          <w:color w:val="auto"/>
        </w:rPr>
      </w:pPr>
      <w:r w:rsidRPr="00623EE6">
        <w:rPr>
          <w:color w:val="auto"/>
        </w:rPr>
        <w:t xml:space="preserve">The 1,010 recorded referrals to third sector organisations account for only 1% of the times that arrested persons were brought into police custody (100,808). Although this is high-level data from police management information, the figure of 1,010 seems excessively low. This compares with the vulnerabilities recorded by police for </w:t>
      </w:r>
      <w:r w:rsidRPr="00623EE6">
        <w:rPr>
          <w:color w:val="auto"/>
        </w:rPr>
        <w:lastRenderedPageBreak/>
        <w:t>arrested persons: 12,959 people with alcohol issues; 16,466 people with drug addiction issues; and 43,257 people with mental health issues.</w:t>
      </w:r>
      <w:r w:rsidRPr="00623EE6">
        <w:rPr>
          <w:rStyle w:val="FootnoteReference"/>
          <w:color w:val="auto"/>
        </w:rPr>
        <w:footnoteReference w:id="26"/>
      </w:r>
    </w:p>
    <w:p w14:paraId="63B10558" w14:textId="77777777" w:rsidR="00C41D69" w:rsidRPr="00623EE6" w:rsidRDefault="00C41D69" w:rsidP="00C41D69">
      <w:pPr>
        <w:rPr>
          <w:color w:val="auto"/>
        </w:rPr>
      </w:pPr>
      <w:r w:rsidRPr="00623EE6">
        <w:rPr>
          <w:color w:val="auto"/>
        </w:rPr>
        <w:t xml:space="preserve">This disconnect has many potential causes including but not limited to police concerns about overwhelming local partners with referrals, a lack of services, a lack of awareness about services, difficulties in making referrals, lack of understanding about masked trauma or masked neurodiversity behaviours and difficult referral processes. </w:t>
      </w:r>
    </w:p>
    <w:p w14:paraId="1926ECDE" w14:textId="77777777" w:rsidR="00C41D69" w:rsidRPr="00623EE6" w:rsidRDefault="00C41D69" w:rsidP="00C41D69">
      <w:pPr>
        <w:rPr>
          <w:color w:val="auto"/>
        </w:rPr>
      </w:pPr>
      <w:r w:rsidRPr="00623EE6">
        <w:rPr>
          <w:color w:val="auto"/>
        </w:rPr>
        <w:t>To conclude, there are significant gaps in data to inform performance improvement or future resource planning for this indicator. This indicator is under development.</w:t>
      </w:r>
    </w:p>
    <w:p w14:paraId="0559C9B5" w14:textId="77777777" w:rsidR="00C41D69" w:rsidRPr="00623EE6" w:rsidRDefault="00C41D69" w:rsidP="00C41D69">
      <w:pPr>
        <w:rPr>
          <w:lang w:eastAsia="en-GB"/>
        </w:rPr>
      </w:pPr>
      <w:r w:rsidRPr="00623EE6">
        <w:rPr>
          <w:color w:val="auto"/>
          <w:lang w:eastAsia="en-GB"/>
        </w:rPr>
        <w:t xml:space="preserve">For more information about the indicator see </w:t>
      </w:r>
      <w:hyperlink r:id="rId31" w:history="1">
        <w:r w:rsidRPr="00623EE6">
          <w:rPr>
            <w:rStyle w:val="Hyperlink"/>
            <w:lang w:eastAsia="en-GB"/>
          </w:rPr>
          <w:t>Community Justice Performance Framework: guidance and technical notes, version 2</w:t>
        </w:r>
      </w:hyperlink>
      <w:r w:rsidRPr="00623EE6">
        <w:t>.</w:t>
      </w:r>
    </w:p>
    <w:p w14:paraId="609BDC0D" w14:textId="77777777" w:rsidR="00C41D69" w:rsidRPr="00623EE6" w:rsidRDefault="00C41D69" w:rsidP="00C41D69">
      <w:pPr>
        <w:pStyle w:val="Heading3"/>
      </w:pPr>
      <w:r w:rsidRPr="00623EE6">
        <w:t>Wider evidence</w:t>
      </w:r>
    </w:p>
    <w:p w14:paraId="5655BA82" w14:textId="77777777" w:rsidR="00C41D69" w:rsidRPr="00623EE6" w:rsidRDefault="00C41D69" w:rsidP="00C41D69">
      <w:pPr>
        <w:rPr>
          <w:color w:val="auto"/>
        </w:rPr>
      </w:pPr>
      <w:r w:rsidRPr="00623EE6">
        <w:rPr>
          <w:color w:val="auto"/>
          <w:szCs w:val="24"/>
          <w:lang w:eastAsia="en-GB"/>
        </w:rPr>
        <w:t>In January 2023, HMICS and Healthcare Improvement Scotland (HIS) published the baseline review of healthcare provision within police custody centres in Scotland.</w:t>
      </w:r>
      <w:r w:rsidRPr="00623EE6">
        <w:rPr>
          <w:rStyle w:val="FootnoteReference"/>
          <w:color w:val="auto"/>
          <w:szCs w:val="24"/>
          <w:lang w:eastAsia="en-GB"/>
        </w:rPr>
        <w:footnoteReference w:id="27"/>
      </w:r>
      <w:r w:rsidRPr="00623EE6">
        <w:rPr>
          <w:color w:val="auto"/>
          <w:szCs w:val="24"/>
          <w:lang w:eastAsia="en-GB"/>
        </w:rPr>
        <w:t xml:space="preserve"> The review found wide variation and inconsistency across Scotland in access to healthcare for people in police custody. </w:t>
      </w:r>
    </w:p>
    <w:p w14:paraId="31E0FAA0" w14:textId="77777777" w:rsidR="00C41D69" w:rsidRPr="00623EE6" w:rsidRDefault="00C41D69" w:rsidP="00C41D69">
      <w:pPr>
        <w:rPr>
          <w:color w:val="auto"/>
        </w:rPr>
      </w:pPr>
      <w:r w:rsidRPr="00623EE6">
        <w:rPr>
          <w:color w:val="auto"/>
        </w:rPr>
        <w:t>During the review period, HMICS undertook inspections and published inspection reports in relation to various police custody units. Consideration and recommendations were made across various themes including medical care and supporting vulnerability while people are being detained, and the availability of information about wider services. There is, however, no scope within these inspections to review how effective such work is in connecting people to the ongoing support services which people need after they have been released from police custody or transferred to prison.</w:t>
      </w:r>
    </w:p>
    <w:p w14:paraId="1EFB8719" w14:textId="77777777" w:rsidR="00C41D69" w:rsidRPr="00623EE6" w:rsidRDefault="00C41D69" w:rsidP="00C41D69">
      <w:pPr>
        <w:rPr>
          <w:b/>
          <w:bCs/>
          <w:color w:val="auto"/>
        </w:rPr>
      </w:pPr>
      <w:r w:rsidRPr="00623EE6">
        <w:rPr>
          <w:color w:val="auto"/>
        </w:rPr>
        <w:t xml:space="preserve">There are pockets of services providing support for people with specific needs. Many of the core services which link as arrest referral services are commissioned by Alcohol and Drug Partnerships (ADPs) with a focus on supporting people to address substance use problems. Further information about MAT standard 3 (police custody suites) is available in </w:t>
      </w:r>
      <w:hyperlink r:id="rId32" w:history="1">
        <w:r w:rsidRPr="00623EE6">
          <w:rPr>
            <w:rStyle w:val="Hyperlink"/>
            <w:color w:val="auto"/>
          </w:rPr>
          <w:t>National benchmarking report on the implementation of the medication assisted treatment (MAT) standards: Scotland 2023/24</w:t>
        </w:r>
      </w:hyperlink>
      <w:r w:rsidRPr="00623EE6">
        <w:rPr>
          <w:color w:val="auto"/>
        </w:rPr>
        <w:t xml:space="preserve"> (p. 64).</w:t>
      </w:r>
    </w:p>
    <w:p w14:paraId="327A7BB0" w14:textId="77777777" w:rsidR="00C41D69" w:rsidRPr="00623EE6" w:rsidRDefault="00C41D69" w:rsidP="00C41D69">
      <w:pPr>
        <w:rPr>
          <w:b/>
          <w:bCs/>
          <w:color w:val="auto"/>
        </w:rPr>
      </w:pPr>
      <w:r w:rsidRPr="00623EE6">
        <w:rPr>
          <w:color w:val="auto"/>
        </w:rPr>
        <w:t xml:space="preserve">Although provision is described as holistic, individuals can present with many complex needs without substance use problems or with substance use not </w:t>
      </w:r>
      <w:r w:rsidRPr="00623EE6">
        <w:rPr>
          <w:color w:val="auto"/>
        </w:rPr>
        <w:lastRenderedPageBreak/>
        <w:t>recognised. There are significant gaps in evidence relating to support for individuals with learning disabilities, autism, neurodiversity and head injuries despite these being prevalent.</w:t>
      </w:r>
    </w:p>
    <w:p w14:paraId="1FE7CBDB" w14:textId="77777777" w:rsidR="00C41D69" w:rsidRPr="00623EE6" w:rsidRDefault="00C41D69" w:rsidP="00C41D69">
      <w:pPr>
        <w:rPr>
          <w:color w:val="auto"/>
        </w:rPr>
      </w:pPr>
      <w:r w:rsidRPr="00623EE6">
        <w:rPr>
          <w:color w:val="auto"/>
        </w:rPr>
        <w:t>As evidenced above, referral rates from police custody to support services remain very low in comparison to the prevalence of vulnerability which later emerges about people who have been arrested. Referrals are hindered by issues such as information-sharing constraints, a lack of consistent referral protocols, and inconsistent awareness among custody staff about services, the availability of services and the efficacy of screening within a custodial environment.</w:t>
      </w:r>
    </w:p>
    <w:p w14:paraId="1A845DE3" w14:textId="77777777" w:rsidR="00C41D69" w:rsidRPr="00623EE6" w:rsidRDefault="00C41D69" w:rsidP="00C41D69">
      <w:pPr>
        <w:rPr>
          <w:b/>
          <w:bCs/>
          <w:color w:val="auto"/>
        </w:rPr>
      </w:pPr>
      <w:r w:rsidRPr="00623EE6">
        <w:rPr>
          <w:color w:val="auto"/>
        </w:rPr>
        <w:t>Rural and remote areas face significant challenges in providing consistent custody support services, exacerbating inequity in service access and outcomes.</w:t>
      </w:r>
      <w:r w:rsidRPr="00623EE6">
        <w:rPr>
          <w:b/>
          <w:bCs/>
          <w:color w:val="auto"/>
        </w:rPr>
        <w:t xml:space="preserve"> </w:t>
      </w:r>
    </w:p>
    <w:p w14:paraId="63129252" w14:textId="77777777" w:rsidR="00C41D69" w:rsidRPr="00623EE6" w:rsidRDefault="00C41D69" w:rsidP="00C41D69">
      <w:pPr>
        <w:rPr>
          <w:color w:val="auto"/>
        </w:rPr>
      </w:pPr>
      <w:r w:rsidRPr="00623EE6">
        <w:rPr>
          <w:color w:val="auto"/>
        </w:rPr>
        <w:t>Efforts to train custody staff in trauma-informed approaches and to improve mental health support are underway. However, the process of custody and power differentials make the implementation of trauma-informed principles (safety, trust, choice, collaboration and empowerment) particularly challenging in criminal justice environments.</w:t>
      </w:r>
    </w:p>
    <w:p w14:paraId="5A845138" w14:textId="77777777" w:rsidR="00C41D69" w:rsidRPr="00623EE6" w:rsidRDefault="00C41D69" w:rsidP="00C41D69">
      <w:pPr>
        <w:rPr>
          <w:color w:val="auto"/>
        </w:rPr>
      </w:pPr>
      <w:r w:rsidRPr="00623EE6">
        <w:rPr>
          <w:color w:val="auto"/>
        </w:rPr>
        <w:t xml:space="preserve">Collaboration between community justice, health services and ADPs has led to innovative local solutions, such as the Custody Link Worker Project in Highland, but resource constraints limit their reach and sustainability. The Custody Link Worker Project was supported by a full academic evaluation. </w:t>
      </w:r>
    </w:p>
    <w:p w14:paraId="212CADBC" w14:textId="77777777" w:rsidR="00C41D69" w:rsidRPr="00623EE6" w:rsidRDefault="00C41D69" w:rsidP="00C41D69">
      <w:pPr>
        <w:rPr>
          <w:color w:val="auto"/>
        </w:rPr>
      </w:pPr>
      <w:r w:rsidRPr="00623EE6">
        <w:rPr>
          <w:color w:val="auto"/>
        </w:rPr>
        <w:t>There are lessons to be learned from the Safeguarding from Custody Working Group in Dumfries and Galloway which has resulted in people released from court or police custody being assisted in a timely manner to travel home. This reduces risks and speeds up access to support such as medication and links to other agencies.</w:t>
      </w:r>
    </w:p>
    <w:p w14:paraId="4A11B759" w14:textId="77777777" w:rsidR="00C41D69" w:rsidRPr="00A91190" w:rsidRDefault="00C41D69" w:rsidP="00C41D69">
      <w:pPr>
        <w:rPr>
          <w:color w:val="auto"/>
        </w:rPr>
      </w:pPr>
      <w:r w:rsidRPr="00A91190">
        <w:rPr>
          <w:color w:val="auto"/>
        </w:rPr>
        <w:t xml:space="preserve">In Fife, custody navigators, funded by Fife ADP, delivered by Sacro and supported by the Violence Reduction Unit, continue to offer support in local custody suites. Although they visit the centres once a week only (Sunday evening), they can accept referrals at any time from custody staff. In 2023-24 the service received 240 referrals. </w:t>
      </w:r>
    </w:p>
    <w:p w14:paraId="24B3B810" w14:textId="77777777" w:rsidR="00C41D69" w:rsidRPr="00623EE6" w:rsidRDefault="00C41D69" w:rsidP="00C41D69">
      <w:pPr>
        <w:rPr>
          <w:rFonts w:cs="Arial"/>
          <w:bCs/>
          <w:color w:val="auto"/>
          <w:sz w:val="23"/>
          <w:szCs w:val="23"/>
        </w:rPr>
      </w:pPr>
      <w:r w:rsidRPr="00623EE6">
        <w:rPr>
          <w:color w:val="auto"/>
        </w:rPr>
        <w:t xml:space="preserve">Similarly, for mental health referrals, Community Justice Glasgow noted that </w:t>
      </w:r>
      <w:r w:rsidRPr="00A91190">
        <w:rPr>
          <w:color w:val="auto"/>
        </w:rPr>
        <w:t>NHS custody healthcare colleagues in Greater Glasgow and Clyde recently won an award at the Mental Health Nursing Forum Excellence</w:t>
      </w:r>
      <w:r w:rsidRPr="00623EE6">
        <w:rPr>
          <w:rFonts w:cs="Arial"/>
          <w:bCs/>
          <w:color w:val="auto"/>
          <w:szCs w:val="24"/>
        </w:rPr>
        <w:t xml:space="preserve"> Awards for their work on accelerated pathways to mental health treatment from the criminal justice system</w:t>
      </w:r>
      <w:r w:rsidRPr="00623EE6">
        <w:rPr>
          <w:rFonts w:cs="Arial"/>
          <w:bCs/>
          <w:color w:val="auto"/>
          <w:sz w:val="23"/>
          <w:szCs w:val="23"/>
        </w:rPr>
        <w:t>.</w:t>
      </w:r>
    </w:p>
    <w:p w14:paraId="1DA8F26A" w14:textId="77777777" w:rsidR="00C41D69" w:rsidRPr="00623EE6" w:rsidRDefault="00C41D69" w:rsidP="00C41D69">
      <w:pPr>
        <w:rPr>
          <w:rFonts w:cs="Arial"/>
          <w:bCs/>
          <w:color w:val="auto"/>
          <w:sz w:val="23"/>
          <w:szCs w:val="23"/>
        </w:rPr>
      </w:pPr>
      <w:r w:rsidRPr="00623EE6">
        <w:rPr>
          <w:color w:val="auto"/>
        </w:rPr>
        <w:t xml:space="preserve">More generally, there is a lack of data and scrutiny. Significant data gaps remain particularly missed opportunities for referrals; outcomes from referrals and support </w:t>
      </w:r>
      <w:r w:rsidRPr="00623EE6">
        <w:rPr>
          <w:color w:val="auto"/>
        </w:rPr>
        <w:lastRenderedPageBreak/>
        <w:t>services; and how well people are supported until the completion of prosecution processes.</w:t>
      </w:r>
    </w:p>
    <w:p w14:paraId="7568939D" w14:textId="77777777" w:rsidR="00C41D69" w:rsidRPr="00623EE6" w:rsidRDefault="00C41D69" w:rsidP="00C41D69">
      <w:pPr>
        <w:rPr>
          <w:color w:val="auto"/>
        </w:rPr>
      </w:pPr>
      <w:r w:rsidRPr="00623EE6">
        <w:rPr>
          <w:color w:val="auto"/>
        </w:rPr>
        <w:t>After the end of the reporting year, some progress appears to have been made. However</w:t>
      </w:r>
      <w:r w:rsidRPr="0080522C">
        <w:rPr>
          <w:b/>
          <w:bCs/>
          <w:color w:val="auto"/>
        </w:rPr>
        <w:t>, there is little evidence of accountability, oversight or scrutiny</w:t>
      </w:r>
      <w:r w:rsidRPr="00623EE6">
        <w:rPr>
          <w:color w:val="auto"/>
        </w:rPr>
        <w:t xml:space="preserve"> about the </w:t>
      </w:r>
      <w:r w:rsidRPr="0080522C">
        <w:rPr>
          <w:b/>
          <w:bCs/>
          <w:color w:val="auto"/>
        </w:rPr>
        <w:t>efficacy of the system</w:t>
      </w:r>
      <w:r w:rsidRPr="00623EE6">
        <w:rPr>
          <w:color w:val="auto"/>
        </w:rPr>
        <w:t xml:space="preserve"> of support services at the point of arrest. </w:t>
      </w:r>
    </w:p>
    <w:p w14:paraId="47F3D656" w14:textId="77777777" w:rsidR="00C41D69" w:rsidRPr="00623EE6" w:rsidRDefault="00C41D69" w:rsidP="00C41D69">
      <w:pPr>
        <w:rPr>
          <w:color w:val="auto"/>
        </w:rPr>
      </w:pPr>
      <w:r w:rsidRPr="00623EE6">
        <w:rPr>
          <w:color w:val="auto"/>
        </w:rPr>
        <w:t xml:space="preserve">These are some of the challenges which should be reviewed by arrest referral working groups which Police Scotland is planning to co-ordinate across the regions. </w:t>
      </w:r>
    </w:p>
    <w:p w14:paraId="70727516" w14:textId="786B7945" w:rsidR="00C41D69" w:rsidRPr="00623EE6" w:rsidRDefault="00C41D69" w:rsidP="00C41D69">
      <w:pPr>
        <w:rPr>
          <w:color w:val="auto"/>
        </w:rPr>
      </w:pPr>
      <w:r w:rsidRPr="00623EE6">
        <w:rPr>
          <w:color w:val="auto"/>
        </w:rPr>
        <w:t>Third sector organisations remain a significant partner in the delivery of arrest referral services and the following organisations were specifically mentioned by local areas: Apex Scotland, Andy’s Man Club, Arrows, Armed Services Advice Project from Citizens Advice Scotland, C</w:t>
      </w:r>
      <w:r w:rsidR="00EA042E">
        <w:rPr>
          <w:color w:val="auto"/>
        </w:rPr>
        <w:t>l</w:t>
      </w:r>
      <w:r w:rsidRPr="00623EE6">
        <w:rPr>
          <w:color w:val="auto"/>
        </w:rPr>
        <w:t>inks, Change Grow Live, Orkney Blide Trust, Phoenix Futures, Positive Steps and Reconnect.</w:t>
      </w:r>
    </w:p>
    <w:p w14:paraId="7068333B" w14:textId="77777777" w:rsidR="004307BF" w:rsidRPr="00623EE6" w:rsidRDefault="004307BF" w:rsidP="00E115B8">
      <w:pPr>
        <w:rPr>
          <w:rFonts w:ascii="Open Sans SemiBold" w:hAnsi="Open Sans SemiBold" w:cs="Times New Roman"/>
          <w:sz w:val="44"/>
        </w:rPr>
      </w:pPr>
      <w:r w:rsidRPr="00623EE6">
        <w:br w:type="page"/>
      </w:r>
    </w:p>
    <w:p w14:paraId="03BE762F" w14:textId="5905CBF1" w:rsidR="00C168C4" w:rsidRPr="00623EE6" w:rsidRDefault="00C168C4" w:rsidP="00C168C4">
      <w:pPr>
        <w:keepNext/>
        <w:pBdr>
          <w:top w:val="single" w:sz="48" w:space="1" w:color="FFB81C"/>
          <w:left w:val="single" w:sz="48" w:space="4" w:color="FFB81C"/>
          <w:bottom w:val="single" w:sz="48" w:space="1" w:color="FFB81C"/>
          <w:right w:val="single" w:sz="48" w:space="4" w:color="FFB81C"/>
        </w:pBdr>
        <w:shd w:val="clear" w:color="auto" w:fill="FFB81C"/>
        <w:spacing w:before="240" w:after="240" w:line="240" w:lineRule="auto"/>
        <w:outlineLvl w:val="0"/>
        <w:rPr>
          <w:rFonts w:ascii="Open Sans SemiBold" w:hAnsi="Open Sans SemiBold" w:cs="Times New Roman"/>
          <w:color w:val="auto"/>
          <w:sz w:val="44"/>
        </w:rPr>
      </w:pPr>
      <w:bookmarkStart w:id="12" w:name="_Toc193901788"/>
      <w:r w:rsidRPr="00623EE6">
        <w:rPr>
          <w:rFonts w:ascii="Open Sans SemiBold" w:hAnsi="Open Sans SemiBold" w:cs="Times New Roman"/>
          <w:color w:val="auto"/>
          <w:sz w:val="44"/>
        </w:rPr>
        <w:lastRenderedPageBreak/>
        <w:t>National Aim 2: Ensure that robust and high</w:t>
      </w:r>
      <w:r w:rsidR="0014477F" w:rsidRPr="00623EE6">
        <w:rPr>
          <w:rFonts w:ascii="Open Sans SemiBold" w:hAnsi="Open Sans SemiBold" w:cs="Times New Roman"/>
          <w:color w:val="auto"/>
          <w:sz w:val="44"/>
        </w:rPr>
        <w:t>-</w:t>
      </w:r>
      <w:r w:rsidRPr="00623EE6">
        <w:rPr>
          <w:rFonts w:ascii="Open Sans SemiBold" w:hAnsi="Open Sans SemiBold" w:cs="Times New Roman"/>
          <w:color w:val="auto"/>
          <w:sz w:val="44"/>
        </w:rPr>
        <w:t>quality community interventions and public protection arrangements are consistently available across Scotland</w:t>
      </w:r>
      <w:bookmarkEnd w:id="12"/>
    </w:p>
    <w:p w14:paraId="15499175" w14:textId="7342D3F1" w:rsidR="00CA2194" w:rsidRPr="00623EE6" w:rsidRDefault="00C168C4" w:rsidP="00CA785E">
      <w:pPr>
        <w:keepNext/>
        <w:keepLines/>
        <w:spacing w:before="40" w:after="40" w:line="240" w:lineRule="auto"/>
        <w:outlineLvl w:val="1"/>
        <w:rPr>
          <w:rFonts w:eastAsiaTheme="majorEastAsia" w:cstheme="majorBidi"/>
          <w:b/>
          <w:color w:val="auto"/>
          <w:szCs w:val="26"/>
        </w:rPr>
      </w:pPr>
      <w:bookmarkStart w:id="13" w:name="_Priority_Action_3:"/>
      <w:bookmarkStart w:id="14" w:name="_Toc193901789"/>
      <w:bookmarkEnd w:id="13"/>
      <w:r w:rsidRPr="00623EE6">
        <w:rPr>
          <w:rFonts w:eastAsiaTheme="majorEastAsia" w:cstheme="majorBidi"/>
          <w:b/>
          <w:color w:val="auto"/>
          <w:szCs w:val="26"/>
        </w:rPr>
        <w:t>Priority Action 3: Support the use of robust alternatives to remand by ensuring high</w:t>
      </w:r>
      <w:r w:rsidR="0014477F" w:rsidRPr="00623EE6">
        <w:rPr>
          <w:rFonts w:eastAsiaTheme="majorEastAsia" w:cstheme="majorBidi"/>
          <w:b/>
          <w:color w:val="auto"/>
          <w:szCs w:val="26"/>
        </w:rPr>
        <w:t>-</w:t>
      </w:r>
      <w:r w:rsidRPr="00623EE6">
        <w:rPr>
          <w:rFonts w:eastAsiaTheme="majorEastAsia" w:cstheme="majorBidi"/>
          <w:b/>
          <w:color w:val="auto"/>
          <w:szCs w:val="26"/>
        </w:rPr>
        <w:t>quality bail services are consistently available and delivered effectively</w:t>
      </w:r>
      <w:bookmarkEnd w:id="14"/>
    </w:p>
    <w:p w14:paraId="7AD707A3" w14:textId="77777777" w:rsidR="0051042F" w:rsidRPr="00623EE6" w:rsidRDefault="0051042F" w:rsidP="0051042F">
      <w:pPr>
        <w:pStyle w:val="Heading3"/>
        <w:rPr>
          <w:lang w:eastAsia="en-GB"/>
        </w:rPr>
      </w:pPr>
      <w:bookmarkStart w:id="15" w:name="_Performance"/>
      <w:bookmarkEnd w:id="15"/>
      <w:r w:rsidRPr="00623EE6">
        <w:rPr>
          <w:lang w:eastAsia="en-GB"/>
        </w:rPr>
        <w:t>Performance</w:t>
      </w:r>
    </w:p>
    <w:p w14:paraId="7000A5C9" w14:textId="0754B885" w:rsidR="001330EB" w:rsidRPr="00623EE6" w:rsidRDefault="001330EB" w:rsidP="00C168C4">
      <w:pPr>
        <w:rPr>
          <w:b/>
          <w:bCs/>
          <w:color w:val="auto"/>
        </w:rPr>
      </w:pPr>
      <w:r w:rsidRPr="00623EE6">
        <w:rPr>
          <w:b/>
          <w:bCs/>
          <w:color w:val="auto"/>
        </w:rPr>
        <w:t xml:space="preserve">National </w:t>
      </w:r>
      <w:r w:rsidR="000019BD" w:rsidRPr="00623EE6">
        <w:rPr>
          <w:b/>
          <w:bCs/>
          <w:color w:val="auto"/>
        </w:rPr>
        <w:t>o</w:t>
      </w:r>
      <w:r w:rsidRPr="00623EE6">
        <w:rPr>
          <w:b/>
          <w:bCs/>
          <w:color w:val="auto"/>
        </w:rPr>
        <w:t>utcome:</w:t>
      </w:r>
    </w:p>
    <w:p w14:paraId="2BF520A8" w14:textId="4E05F7CA" w:rsidR="001330EB" w:rsidRPr="00623EE6" w:rsidRDefault="001330EB" w:rsidP="00C168C4">
      <w:pPr>
        <w:rPr>
          <w:color w:val="auto"/>
        </w:rPr>
      </w:pPr>
      <w:r w:rsidRPr="00623EE6">
        <w:rPr>
          <w:color w:val="auto"/>
        </w:rPr>
        <w:t>More people are assessed for and successfully complete bail supervision</w:t>
      </w:r>
    </w:p>
    <w:p w14:paraId="2027B238" w14:textId="7F52DC26" w:rsidR="001330EB" w:rsidRPr="00623EE6" w:rsidRDefault="001330EB" w:rsidP="00C168C4">
      <w:pPr>
        <w:rPr>
          <w:b/>
          <w:bCs/>
          <w:color w:val="auto"/>
        </w:rPr>
      </w:pPr>
      <w:r w:rsidRPr="00623EE6">
        <w:rPr>
          <w:b/>
          <w:bCs/>
          <w:color w:val="auto"/>
        </w:rPr>
        <w:t xml:space="preserve">National </w:t>
      </w:r>
      <w:r w:rsidR="000019BD" w:rsidRPr="00623EE6">
        <w:rPr>
          <w:b/>
          <w:bCs/>
          <w:color w:val="auto"/>
        </w:rPr>
        <w:t>i</w:t>
      </w:r>
      <w:r w:rsidRPr="00623EE6">
        <w:rPr>
          <w:b/>
          <w:bCs/>
          <w:color w:val="auto"/>
        </w:rPr>
        <w:t>ndicators:</w:t>
      </w:r>
    </w:p>
    <w:p w14:paraId="1CC2DA4D" w14:textId="77777777" w:rsidR="001330EB" w:rsidRPr="00623EE6" w:rsidRDefault="001330EB" w:rsidP="00E115B8">
      <w:pPr>
        <w:rPr>
          <w:color w:val="auto"/>
        </w:rPr>
      </w:pPr>
      <w:r w:rsidRPr="00623EE6">
        <w:rPr>
          <w:color w:val="auto"/>
        </w:rPr>
        <w:t xml:space="preserve">Number of: </w:t>
      </w:r>
    </w:p>
    <w:p w14:paraId="1068E542" w14:textId="12E85F33" w:rsidR="001330EB" w:rsidRPr="00623EE6" w:rsidRDefault="00EA042E" w:rsidP="001223CA">
      <w:pPr>
        <w:pStyle w:val="ListParagraph"/>
        <w:numPr>
          <w:ilvl w:val="1"/>
          <w:numId w:val="10"/>
        </w:numPr>
        <w:rPr>
          <w:color w:val="auto"/>
        </w:rPr>
      </w:pPr>
      <w:r>
        <w:rPr>
          <w:color w:val="auto"/>
        </w:rPr>
        <w:t>A</w:t>
      </w:r>
      <w:r w:rsidR="001330EB" w:rsidRPr="00623EE6">
        <w:rPr>
          <w:color w:val="auto"/>
        </w:rPr>
        <w:t>ssessment reports for bail suitability</w:t>
      </w:r>
    </w:p>
    <w:p w14:paraId="103F788A" w14:textId="3E922179" w:rsidR="001330EB" w:rsidRPr="00623EE6" w:rsidRDefault="00EA042E" w:rsidP="001223CA">
      <w:pPr>
        <w:pStyle w:val="ListParagraph"/>
        <w:numPr>
          <w:ilvl w:val="1"/>
          <w:numId w:val="10"/>
        </w:numPr>
        <w:rPr>
          <w:color w:val="auto"/>
        </w:rPr>
      </w:pPr>
      <w:r>
        <w:rPr>
          <w:color w:val="auto"/>
        </w:rPr>
        <w:t>B</w:t>
      </w:r>
      <w:r w:rsidR="001330EB" w:rsidRPr="00623EE6">
        <w:rPr>
          <w:color w:val="auto"/>
        </w:rPr>
        <w:t xml:space="preserve">ail supervision cases commenced </w:t>
      </w:r>
    </w:p>
    <w:p w14:paraId="64EF429B" w14:textId="32E9A336" w:rsidR="001330EB" w:rsidRPr="00623EE6" w:rsidRDefault="00EA042E" w:rsidP="001223CA">
      <w:pPr>
        <w:pStyle w:val="ListParagraph"/>
        <w:numPr>
          <w:ilvl w:val="1"/>
          <w:numId w:val="10"/>
        </w:numPr>
        <w:rPr>
          <w:color w:val="auto"/>
        </w:rPr>
      </w:pPr>
      <w:r>
        <w:rPr>
          <w:color w:val="auto"/>
        </w:rPr>
        <w:t>B</w:t>
      </w:r>
      <w:r w:rsidR="001330EB" w:rsidRPr="00623EE6">
        <w:rPr>
          <w:color w:val="auto"/>
        </w:rPr>
        <w:t>ail supervision cases completed</w:t>
      </w:r>
    </w:p>
    <w:p w14:paraId="74E70975" w14:textId="1A83DFD3" w:rsidR="00C168C4" w:rsidRPr="00623EE6" w:rsidRDefault="00D9007F" w:rsidP="00C168C4">
      <w:pPr>
        <w:rPr>
          <w:color w:val="auto"/>
        </w:rPr>
      </w:pPr>
      <w:r w:rsidRPr="00623EE6">
        <w:rPr>
          <w:color w:val="auto"/>
        </w:rPr>
        <w:t>I</w:t>
      </w:r>
      <w:r w:rsidR="00553677" w:rsidRPr="00623EE6">
        <w:rPr>
          <w:color w:val="auto"/>
        </w:rPr>
        <w:t>ndicator data</w:t>
      </w:r>
      <w:r w:rsidRPr="00623EE6">
        <w:rPr>
          <w:color w:val="auto"/>
        </w:rPr>
        <w:t xml:space="preserve"> </w:t>
      </w:r>
      <w:r w:rsidR="00553677" w:rsidRPr="00623EE6">
        <w:rPr>
          <w:color w:val="auto"/>
        </w:rPr>
        <w:t xml:space="preserve">is set out in the </w:t>
      </w:r>
      <w:r w:rsidR="00E80F32" w:rsidRPr="00623EE6">
        <w:rPr>
          <w:color w:val="auto"/>
        </w:rPr>
        <w:t>figure</w:t>
      </w:r>
      <w:r w:rsidR="00553677" w:rsidRPr="00623EE6">
        <w:rPr>
          <w:color w:val="auto"/>
        </w:rPr>
        <w:t xml:space="preserve"> below</w:t>
      </w:r>
      <w:r w:rsidRPr="00623EE6">
        <w:rPr>
          <w:color w:val="auto"/>
        </w:rPr>
        <w:t>:</w:t>
      </w:r>
    </w:p>
    <w:p w14:paraId="42D5D3B1" w14:textId="6A33CFCD" w:rsidR="00C168C4" w:rsidRPr="00623EE6" w:rsidRDefault="001330EB" w:rsidP="00C168C4">
      <w:pPr>
        <w:rPr>
          <w:color w:val="auto"/>
        </w:rPr>
      </w:pPr>
      <w:r w:rsidRPr="00623EE6">
        <w:rPr>
          <w:noProof/>
        </w:rPr>
        <w:drawing>
          <wp:inline distT="0" distB="0" distL="0" distR="0" wp14:anchorId="60B7D160" wp14:editId="49ABB1D6">
            <wp:extent cx="5731510" cy="3415030"/>
            <wp:effectExtent l="0" t="0" r="2540" b="13970"/>
            <wp:docPr id="929902702" name="Chart 1" descr="graph of bail supervision indicator">
              <a:extLst xmlns:a="http://schemas.openxmlformats.org/drawingml/2006/main">
                <a:ext uri="{FF2B5EF4-FFF2-40B4-BE49-F238E27FC236}">
                  <a16:creationId xmlns:a16="http://schemas.microsoft.com/office/drawing/2014/main" id="{26495460-5A82-F8E0-9D28-814832442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954E1F" w14:textId="77777777" w:rsidR="00021B67" w:rsidRDefault="00021B67" w:rsidP="00021B67">
      <w:pPr>
        <w:pStyle w:val="Heading3"/>
        <w:rPr>
          <w:rFonts w:ascii="Aptos" w:hAnsi="Aptos"/>
          <w:sz w:val="27"/>
        </w:rPr>
      </w:pPr>
      <w:r>
        <w:lastRenderedPageBreak/>
        <w:t>Bail Services and Supervision</w:t>
      </w:r>
    </w:p>
    <w:p w14:paraId="1AE2AC7E" w14:textId="77777777" w:rsidR="00021B67" w:rsidRDefault="00021B67" w:rsidP="00021B67">
      <w:pPr>
        <w:spacing w:before="100" w:beforeAutospacing="1" w:after="100" w:afterAutospacing="1"/>
      </w:pPr>
      <w:r>
        <w:t>Bail services provide an alternative to remand, allowing individuals to remain in the community under specified conditions rather than being held in custody. Bail supervision offers additional support to address key needs such as housing, mental health, and addiction while ensuring compliance with bail conditions.</w:t>
      </w:r>
    </w:p>
    <w:p w14:paraId="05001E37" w14:textId="77777777" w:rsidR="00021B67" w:rsidRPr="00926EF1" w:rsidRDefault="00021B67" w:rsidP="00021B67">
      <w:pPr>
        <w:pStyle w:val="Heading4"/>
        <w:rPr>
          <w:rFonts w:eastAsia="Times New Roman"/>
          <w:b/>
          <w:bCs/>
          <w:sz w:val="28"/>
          <w:szCs w:val="28"/>
        </w:rPr>
      </w:pPr>
      <w:r w:rsidRPr="00926EF1">
        <w:rPr>
          <w:rFonts w:eastAsia="Times New Roman"/>
          <w:b/>
          <w:bCs/>
          <w:sz w:val="28"/>
          <w:szCs w:val="28"/>
        </w:rPr>
        <w:t>Trends in Bail Supervision</w:t>
      </w:r>
    </w:p>
    <w:p w14:paraId="7093DF8C" w14:textId="77777777" w:rsidR="00021B67" w:rsidRDefault="00021B67" w:rsidP="00021B67">
      <w:pPr>
        <w:spacing w:before="100" w:beforeAutospacing="1" w:after="100" w:afterAutospacing="1"/>
      </w:pPr>
      <w:r>
        <w:t xml:space="preserve">The number of bail assessments, supervision cases commenced, and cases completed </w:t>
      </w:r>
      <w:r w:rsidRPr="00926EF1">
        <w:rPr>
          <w:b/>
          <w:bCs/>
        </w:rPr>
        <w:t>has increased significantly</w:t>
      </w:r>
      <w:r>
        <w:t xml:space="preserve"> from 2022-23 to the current reporting year. Due to recent changes in guidance aimed at improving data consistency, 2023-24 serves as the baseline year for this indicator.</w:t>
      </w:r>
    </w:p>
    <w:p w14:paraId="73F3E735" w14:textId="77777777" w:rsidR="00021B67" w:rsidRPr="00623EE6" w:rsidRDefault="00021B67" w:rsidP="00021B67">
      <w:pPr>
        <w:rPr>
          <w:color w:val="auto"/>
        </w:rPr>
      </w:pPr>
      <w:r w:rsidRPr="00623EE6">
        <w:rPr>
          <w:color w:val="auto"/>
        </w:rPr>
        <w:t>From the JSW statistics publication for 2023-24:</w:t>
      </w:r>
      <w:r w:rsidRPr="00623EE6">
        <w:rPr>
          <w:color w:val="auto"/>
          <w:vertAlign w:val="superscript"/>
        </w:rPr>
        <w:footnoteReference w:id="28"/>
      </w:r>
    </w:p>
    <w:p w14:paraId="6EF9C513" w14:textId="77777777" w:rsidR="00021B67" w:rsidRPr="00623EE6" w:rsidRDefault="00021B67" w:rsidP="00021B67">
      <w:pPr>
        <w:numPr>
          <w:ilvl w:val="0"/>
          <w:numId w:val="6"/>
        </w:numPr>
        <w:contextualSpacing/>
        <w:rPr>
          <w:color w:val="auto"/>
        </w:rPr>
      </w:pPr>
      <w:r w:rsidRPr="00623EE6">
        <w:rPr>
          <w:color w:val="auto"/>
        </w:rPr>
        <w:t>A total of 1,302 bail supervision cases commenced in 2023-24, a rise of 17% from 1,110 in 2022-23. This was the highest in the last 10 years.</w:t>
      </w:r>
    </w:p>
    <w:p w14:paraId="7F0A6E99" w14:textId="77777777" w:rsidR="00021B67" w:rsidRPr="00623EE6" w:rsidRDefault="00021B67" w:rsidP="00021B67">
      <w:pPr>
        <w:numPr>
          <w:ilvl w:val="0"/>
          <w:numId w:val="6"/>
        </w:numPr>
        <w:contextualSpacing/>
        <w:rPr>
          <w:color w:val="auto"/>
        </w:rPr>
      </w:pPr>
      <w:r w:rsidRPr="00623EE6">
        <w:rPr>
          <w:color w:val="auto"/>
        </w:rPr>
        <w:t>Around 80% of supervised bail was for men.</w:t>
      </w:r>
    </w:p>
    <w:p w14:paraId="4E41D7CC" w14:textId="77777777" w:rsidR="00021B67" w:rsidRPr="00623EE6" w:rsidRDefault="00021B67" w:rsidP="00021B67">
      <w:pPr>
        <w:numPr>
          <w:ilvl w:val="0"/>
          <w:numId w:val="6"/>
        </w:numPr>
        <w:contextualSpacing/>
        <w:rPr>
          <w:color w:val="auto"/>
        </w:rPr>
      </w:pPr>
      <w:r w:rsidRPr="00623EE6">
        <w:rPr>
          <w:color w:val="auto"/>
        </w:rPr>
        <w:t>There were 5,532 assessment reports for bail suitability submitted to the courts, a rise of 22% from 4,548 in 2022-23.</w:t>
      </w:r>
    </w:p>
    <w:p w14:paraId="60B37C0E" w14:textId="364BAADD" w:rsidR="00021B67" w:rsidRPr="00263E68" w:rsidRDefault="00021B67" w:rsidP="00021B67">
      <w:pPr>
        <w:numPr>
          <w:ilvl w:val="0"/>
          <w:numId w:val="6"/>
        </w:numPr>
        <w:contextualSpacing/>
        <w:rPr>
          <w:color w:val="auto"/>
        </w:rPr>
      </w:pPr>
      <w:r w:rsidRPr="00623EE6">
        <w:rPr>
          <w:color w:val="auto"/>
        </w:rPr>
        <w:t>831 bail supervision cases were completed successfully and 122 bail supervision breach reports submitted</w:t>
      </w:r>
      <w:r>
        <w:rPr>
          <w:color w:val="auto"/>
        </w:rPr>
        <w:t xml:space="preserve">. </w:t>
      </w:r>
      <w:r w:rsidRPr="00263E68">
        <w:rPr>
          <w:color w:val="auto"/>
        </w:rPr>
        <w:t>Comparative data for assessments and cases completed before 2022-23 is unavailable.</w:t>
      </w:r>
    </w:p>
    <w:p w14:paraId="60AAFFF9" w14:textId="77777777" w:rsidR="00021B67" w:rsidRDefault="00021B67" w:rsidP="00021B67">
      <w:pPr>
        <w:rPr>
          <w:color w:val="auto"/>
        </w:rPr>
      </w:pPr>
    </w:p>
    <w:p w14:paraId="1B2AD9F6" w14:textId="77777777" w:rsidR="00021B67" w:rsidRDefault="00021B67" w:rsidP="00021B67">
      <w:pPr>
        <w:spacing w:before="100" w:beforeAutospacing="1" w:after="100" w:afterAutospacing="1"/>
      </w:pPr>
      <w:r>
        <w:t>There is significant variation in bail assessments and supervision cases across different areas, as well as in the proportion of cases progressing from assessment to commencement. Factors influencing these differences include:</w:t>
      </w:r>
    </w:p>
    <w:p w14:paraId="55F8786D" w14:textId="77777777" w:rsidR="00021B67" w:rsidRPr="00926EF1" w:rsidRDefault="00021B67" w:rsidP="001223CA">
      <w:pPr>
        <w:numPr>
          <w:ilvl w:val="0"/>
          <w:numId w:val="37"/>
        </w:numPr>
        <w:spacing w:before="100" w:beforeAutospacing="1" w:after="100" w:afterAutospacing="1" w:line="240" w:lineRule="auto"/>
        <w:rPr>
          <w:b/>
          <w:bCs/>
        </w:rPr>
      </w:pPr>
      <w:r w:rsidRPr="00926EF1">
        <w:rPr>
          <w:b/>
          <w:bCs/>
        </w:rPr>
        <w:t>Local crime profiles</w:t>
      </w:r>
    </w:p>
    <w:p w14:paraId="3830C112" w14:textId="77777777" w:rsidR="00021B67" w:rsidRPr="00926EF1" w:rsidRDefault="00021B67" w:rsidP="001223CA">
      <w:pPr>
        <w:numPr>
          <w:ilvl w:val="0"/>
          <w:numId w:val="37"/>
        </w:numPr>
        <w:spacing w:before="100" w:beforeAutospacing="1" w:after="100" w:afterAutospacing="1" w:line="240" w:lineRule="auto"/>
        <w:rPr>
          <w:b/>
          <w:bCs/>
        </w:rPr>
      </w:pPr>
      <w:r w:rsidRPr="00926EF1">
        <w:rPr>
          <w:b/>
          <w:bCs/>
        </w:rPr>
        <w:t>Case complexity and individual circumstances</w:t>
      </w:r>
    </w:p>
    <w:p w14:paraId="416B905A" w14:textId="77777777" w:rsidR="00021B67" w:rsidRPr="00926EF1" w:rsidRDefault="00021B67" w:rsidP="001223CA">
      <w:pPr>
        <w:numPr>
          <w:ilvl w:val="0"/>
          <w:numId w:val="37"/>
        </w:numPr>
        <w:spacing w:before="100" w:beforeAutospacing="1" w:after="100" w:afterAutospacing="1" w:line="240" w:lineRule="auto"/>
        <w:rPr>
          <w:b/>
          <w:bCs/>
        </w:rPr>
      </w:pPr>
      <w:r w:rsidRPr="00926EF1">
        <w:rPr>
          <w:b/>
          <w:bCs/>
        </w:rPr>
        <w:t>Assessment procedures</w:t>
      </w:r>
    </w:p>
    <w:p w14:paraId="568DAB1B" w14:textId="77777777" w:rsidR="00021B67" w:rsidRPr="00926EF1" w:rsidRDefault="00021B67" w:rsidP="001223CA">
      <w:pPr>
        <w:numPr>
          <w:ilvl w:val="0"/>
          <w:numId w:val="37"/>
        </w:numPr>
        <w:spacing w:before="100" w:beforeAutospacing="1" w:after="100" w:afterAutospacing="1" w:line="240" w:lineRule="auto"/>
        <w:rPr>
          <w:b/>
          <w:bCs/>
        </w:rPr>
      </w:pPr>
      <w:r w:rsidRPr="00926EF1">
        <w:rPr>
          <w:b/>
          <w:bCs/>
        </w:rPr>
        <w:t>Availability of support services</w:t>
      </w:r>
    </w:p>
    <w:p w14:paraId="13E9FF8E" w14:textId="77777777" w:rsidR="00021B67" w:rsidRDefault="00021B67" w:rsidP="00021B67">
      <w:pPr>
        <w:spacing w:before="100" w:beforeAutospacing="1" w:after="100" w:afterAutospacing="1"/>
      </w:pPr>
      <w:r>
        <w:t>Further data collection and analysis are underway to better understand low conversion rates and identify opportunities for improvement. The Scottish Government is coordinating this work.</w:t>
      </w:r>
    </w:p>
    <w:p w14:paraId="12FDAEC6" w14:textId="77777777" w:rsidR="00021B67" w:rsidRPr="00623EE6" w:rsidRDefault="00021B67" w:rsidP="00021B67">
      <w:pPr>
        <w:rPr>
          <w:lang w:eastAsia="en-GB"/>
        </w:rPr>
      </w:pPr>
      <w:r w:rsidRPr="00623EE6">
        <w:rPr>
          <w:color w:val="auto"/>
          <w:lang w:eastAsia="en-GB"/>
        </w:rPr>
        <w:lastRenderedPageBreak/>
        <w:t xml:space="preserve">For more information about the indicator see </w:t>
      </w:r>
      <w:hyperlink r:id="rId34" w:history="1">
        <w:r w:rsidRPr="00623EE6">
          <w:rPr>
            <w:rStyle w:val="Hyperlink"/>
            <w:lang w:eastAsia="en-GB"/>
          </w:rPr>
          <w:t>Community Justice Performance Framework: guidance and technical notes, version 2</w:t>
        </w:r>
      </w:hyperlink>
      <w:r w:rsidRPr="00623EE6">
        <w:t>.</w:t>
      </w:r>
    </w:p>
    <w:p w14:paraId="2926A0A5" w14:textId="77777777" w:rsidR="00021B67" w:rsidRPr="00623EE6" w:rsidRDefault="00021B67" w:rsidP="00021B67">
      <w:pPr>
        <w:keepNext/>
        <w:keepLines/>
        <w:outlineLvl w:val="2"/>
        <w:rPr>
          <w:rFonts w:eastAsiaTheme="majorEastAsia" w:cs="Arial"/>
          <w:b/>
          <w:bCs/>
          <w:color w:val="auto"/>
        </w:rPr>
      </w:pPr>
      <w:r w:rsidRPr="00623EE6">
        <w:rPr>
          <w:rFonts w:eastAsiaTheme="majorEastAsia" w:cs="Arial"/>
          <w:b/>
          <w:bCs/>
          <w:color w:val="auto"/>
        </w:rPr>
        <w:t>Wider evidence</w:t>
      </w:r>
    </w:p>
    <w:p w14:paraId="49EDB50E" w14:textId="77777777" w:rsidR="00021B67" w:rsidRPr="00623EE6" w:rsidRDefault="00021B67" w:rsidP="00021B67">
      <w:pPr>
        <w:rPr>
          <w:b/>
          <w:bCs/>
          <w:color w:val="auto"/>
        </w:rPr>
      </w:pPr>
      <w:r w:rsidRPr="00623EE6">
        <w:rPr>
          <w:b/>
          <w:bCs/>
          <w:color w:val="auto"/>
        </w:rPr>
        <w:t>Legislation and guidance</w:t>
      </w:r>
    </w:p>
    <w:p w14:paraId="3F47AF21" w14:textId="77777777" w:rsidR="00021B67" w:rsidRPr="00623EE6" w:rsidRDefault="00021B67" w:rsidP="00021B67">
      <w:pPr>
        <w:rPr>
          <w:color w:val="auto"/>
        </w:rPr>
      </w:pPr>
      <w:r w:rsidRPr="00623EE6">
        <w:rPr>
          <w:color w:val="auto"/>
        </w:rPr>
        <w:t xml:space="preserve">In January 2023, the Scottish Government published </w:t>
      </w:r>
      <w:r w:rsidRPr="00623EE6">
        <w:rPr>
          <w:b/>
          <w:bCs/>
          <w:color w:val="auto"/>
        </w:rPr>
        <w:t>updated national guidance for bail supervision</w:t>
      </w:r>
      <w:r w:rsidRPr="00623EE6">
        <w:rPr>
          <w:color w:val="auto"/>
          <w:vertAlign w:val="superscript"/>
        </w:rPr>
        <w:footnoteReference w:id="29"/>
      </w:r>
      <w:r w:rsidRPr="00623EE6">
        <w:rPr>
          <w:color w:val="auto"/>
        </w:rPr>
        <w:t xml:space="preserve"> covering the operation of bail supervision and the standards and expectations to support the consistent delivery of the service across Scotland. These informed much of the local area activity that took place throughout the reporting year.</w:t>
      </w:r>
    </w:p>
    <w:p w14:paraId="3C16650C" w14:textId="77777777" w:rsidR="00021B67" w:rsidRPr="00623EE6" w:rsidRDefault="00021B67" w:rsidP="00021B67">
      <w:pPr>
        <w:rPr>
          <w:color w:val="auto"/>
        </w:rPr>
      </w:pPr>
      <w:r w:rsidRPr="00623EE6">
        <w:rPr>
          <w:color w:val="auto"/>
        </w:rPr>
        <w:t xml:space="preserve">The </w:t>
      </w:r>
      <w:r w:rsidRPr="00623EE6">
        <w:rPr>
          <w:b/>
          <w:bCs/>
          <w:color w:val="auto"/>
        </w:rPr>
        <w:t xml:space="preserve">Bail and Release from Custody (Scotland) Act 2023 </w:t>
      </w:r>
      <w:r w:rsidRPr="00623EE6">
        <w:rPr>
          <w:color w:val="auto"/>
        </w:rPr>
        <w:t>will, when introduced, provide measures aimed at increasing the likelihood of an accused being granted pre-trial bail, as opposed to being remanded. The changes include:</w:t>
      </w:r>
      <w:r w:rsidRPr="00623EE6">
        <w:rPr>
          <w:color w:val="auto"/>
          <w:vertAlign w:val="superscript"/>
        </w:rPr>
        <w:footnoteReference w:id="30"/>
      </w:r>
      <w:r w:rsidRPr="00623EE6">
        <w:rPr>
          <w:color w:val="auto"/>
        </w:rPr>
        <w:t xml:space="preserve"> </w:t>
      </w:r>
    </w:p>
    <w:p w14:paraId="422F51F4" w14:textId="1EDAFE1D" w:rsidR="00021B67" w:rsidRPr="00623EE6" w:rsidRDefault="00EA042E" w:rsidP="00021B67">
      <w:pPr>
        <w:numPr>
          <w:ilvl w:val="0"/>
          <w:numId w:val="3"/>
        </w:numPr>
        <w:contextualSpacing/>
        <w:rPr>
          <w:color w:val="auto"/>
        </w:rPr>
      </w:pPr>
      <w:r>
        <w:rPr>
          <w:color w:val="auto"/>
        </w:rPr>
        <w:t>R</w:t>
      </w:r>
      <w:r w:rsidR="00021B67" w:rsidRPr="00623EE6">
        <w:rPr>
          <w:color w:val="auto"/>
        </w:rPr>
        <w:t>equiring that JSW be given the opportunity to provide information to the court when making decisions about bail</w:t>
      </w:r>
    </w:p>
    <w:p w14:paraId="2C67DA41" w14:textId="6297C216" w:rsidR="00021B67" w:rsidRPr="00623EE6" w:rsidRDefault="00EA042E" w:rsidP="00021B67">
      <w:pPr>
        <w:numPr>
          <w:ilvl w:val="0"/>
          <w:numId w:val="3"/>
        </w:numPr>
        <w:contextualSpacing/>
        <w:rPr>
          <w:color w:val="auto"/>
        </w:rPr>
      </w:pPr>
      <w:r>
        <w:rPr>
          <w:color w:val="auto"/>
        </w:rPr>
        <w:t>C</w:t>
      </w:r>
      <w:r w:rsidR="00021B67" w:rsidRPr="00623EE6">
        <w:rPr>
          <w:color w:val="auto"/>
        </w:rPr>
        <w:t>hanging the test that the court must apply when making decisions about bail to make bail an option for more cases</w:t>
      </w:r>
    </w:p>
    <w:p w14:paraId="272CB692" w14:textId="098FE189" w:rsidR="00021B67" w:rsidRPr="00623EE6" w:rsidRDefault="00EA042E" w:rsidP="00021B67">
      <w:pPr>
        <w:numPr>
          <w:ilvl w:val="0"/>
          <w:numId w:val="3"/>
        </w:numPr>
        <w:contextualSpacing/>
        <w:rPr>
          <w:color w:val="auto"/>
        </w:rPr>
      </w:pPr>
      <w:r>
        <w:rPr>
          <w:color w:val="auto"/>
        </w:rPr>
        <w:t>R</w:t>
      </w:r>
      <w:r w:rsidR="00021B67" w:rsidRPr="00623EE6">
        <w:rPr>
          <w:color w:val="auto"/>
        </w:rPr>
        <w:t>equiring the court to record reasons for refusing bail</w:t>
      </w:r>
    </w:p>
    <w:p w14:paraId="2CF52082" w14:textId="0C4A15F7" w:rsidR="00021B67" w:rsidRDefault="00EA042E" w:rsidP="00021B67">
      <w:pPr>
        <w:numPr>
          <w:ilvl w:val="0"/>
          <w:numId w:val="3"/>
        </w:numPr>
        <w:contextualSpacing/>
        <w:rPr>
          <w:color w:val="auto"/>
        </w:rPr>
      </w:pPr>
      <w:r>
        <w:rPr>
          <w:color w:val="auto"/>
        </w:rPr>
        <w:t>A</w:t>
      </w:r>
      <w:r w:rsidR="00021B67" w:rsidRPr="00623EE6">
        <w:rPr>
          <w:color w:val="auto"/>
        </w:rPr>
        <w:t>llowing time spent on electronically monitored bail to be counted as time served against a custodial sentence</w:t>
      </w:r>
    </w:p>
    <w:p w14:paraId="62808954" w14:textId="77777777" w:rsidR="00EA042E" w:rsidRPr="00EA042E" w:rsidRDefault="00EA042E" w:rsidP="00EA042E">
      <w:pPr>
        <w:ind w:left="720"/>
        <w:contextualSpacing/>
        <w:rPr>
          <w:color w:val="auto"/>
        </w:rPr>
      </w:pPr>
    </w:p>
    <w:p w14:paraId="52ECD7D8" w14:textId="77777777" w:rsidR="00021B67" w:rsidRPr="00623EE6" w:rsidRDefault="00021B67" w:rsidP="00021B67">
      <w:pPr>
        <w:rPr>
          <w:color w:val="auto"/>
        </w:rPr>
      </w:pPr>
      <w:r w:rsidRPr="00623EE6">
        <w:rPr>
          <w:color w:val="auto"/>
        </w:rPr>
        <w:t>It is too soon to understand the impact of these changes as arrangements continue to develop and embed across Scotland.</w:t>
      </w:r>
    </w:p>
    <w:p w14:paraId="63215148" w14:textId="77777777" w:rsidR="00021B67" w:rsidRPr="00623EE6" w:rsidRDefault="00021B67" w:rsidP="00021B67">
      <w:pPr>
        <w:rPr>
          <w:b/>
          <w:bCs/>
          <w:color w:val="auto"/>
        </w:rPr>
      </w:pPr>
      <w:r w:rsidRPr="00623EE6">
        <w:rPr>
          <w:b/>
          <w:bCs/>
          <w:color w:val="auto"/>
        </w:rPr>
        <w:t xml:space="preserve">Research </w:t>
      </w:r>
    </w:p>
    <w:p w14:paraId="103832DE" w14:textId="77777777" w:rsidR="00021B67" w:rsidRPr="00623EE6" w:rsidRDefault="00021B67" w:rsidP="00021B67">
      <w:pPr>
        <w:rPr>
          <w:color w:val="auto"/>
        </w:rPr>
      </w:pPr>
      <w:r w:rsidRPr="00623EE6">
        <w:rPr>
          <w:color w:val="auto"/>
        </w:rPr>
        <w:t>The final report</w:t>
      </w:r>
      <w:r w:rsidRPr="00623EE6">
        <w:rPr>
          <w:color w:val="auto"/>
          <w:vertAlign w:val="superscript"/>
        </w:rPr>
        <w:footnoteReference w:id="31"/>
      </w:r>
      <w:r w:rsidRPr="00623EE6">
        <w:rPr>
          <w:color w:val="auto"/>
        </w:rPr>
        <w:t xml:space="preserve"> from the </w:t>
      </w:r>
      <w:hyperlink r:id="rId35" w:history="1">
        <w:r w:rsidRPr="00623EE6">
          <w:rPr>
            <w:color w:val="auto"/>
            <w:u w:val="single"/>
          </w:rPr>
          <w:t>Decision-making on Bail and Remand in Scotland</w:t>
        </w:r>
      </w:hyperlink>
      <w:r w:rsidRPr="00623EE6">
        <w:rPr>
          <w:color w:val="auto"/>
        </w:rPr>
        <w:t xml:space="preserve"> study was published in December 2023. The Scottish Government commissioned this independent research in 2019 to explore decision-making relating to refusal of bail. The final report provides insight into the experiences, understanding, views and attitudes of key justice stakeholders, and explores the many factors that influence the use of bail, remand and EM at this key stage of the justice process. </w:t>
      </w:r>
    </w:p>
    <w:p w14:paraId="57041DDA" w14:textId="77777777" w:rsidR="00021B67" w:rsidRPr="00623EE6" w:rsidRDefault="00021B67" w:rsidP="00021B67">
      <w:pPr>
        <w:rPr>
          <w:b/>
          <w:bCs/>
          <w:color w:val="auto"/>
        </w:rPr>
      </w:pPr>
      <w:r w:rsidRPr="00623EE6">
        <w:rPr>
          <w:b/>
          <w:bCs/>
          <w:color w:val="auto"/>
        </w:rPr>
        <w:t>Multi-agency improvement activity</w:t>
      </w:r>
    </w:p>
    <w:p w14:paraId="53FA1EAB" w14:textId="77777777" w:rsidR="00021B67" w:rsidRDefault="00021B67" w:rsidP="00021B67">
      <w:pPr>
        <w:spacing w:before="100" w:beforeAutospacing="1" w:after="100" w:afterAutospacing="1"/>
      </w:pPr>
      <w:r>
        <w:lastRenderedPageBreak/>
        <w:t>As part of its broader justice strategy, the Scottish Government has committed to expanding alternatives to remand. The </w:t>
      </w:r>
      <w:r>
        <w:rPr>
          <w:rStyle w:val="Strong"/>
        </w:rPr>
        <w:t>Strengthening Alternatives to Remand</w:t>
      </w:r>
      <w:r>
        <w:t> project group, convened to progress outstanding actions and identify improvements is focusing on:</w:t>
      </w:r>
    </w:p>
    <w:p w14:paraId="3D77643B" w14:textId="77777777" w:rsidR="00021B67" w:rsidRDefault="00021B67" w:rsidP="001223CA">
      <w:pPr>
        <w:numPr>
          <w:ilvl w:val="0"/>
          <w:numId w:val="34"/>
        </w:numPr>
        <w:spacing w:before="100" w:beforeAutospacing="1" w:after="100" w:afterAutospacing="1" w:line="240" w:lineRule="auto"/>
      </w:pPr>
      <w:r>
        <w:t>Reviewing the bail assessment processes and practices.</w:t>
      </w:r>
    </w:p>
    <w:p w14:paraId="284D0AAB" w14:textId="77777777" w:rsidR="00021B67" w:rsidRDefault="00021B67" w:rsidP="001223CA">
      <w:pPr>
        <w:numPr>
          <w:ilvl w:val="0"/>
          <w:numId w:val="34"/>
        </w:numPr>
        <w:spacing w:before="100" w:beforeAutospacing="1" w:after="100" w:afterAutospacing="1" w:line="240" w:lineRule="auto"/>
      </w:pPr>
      <w:r>
        <w:t>Improving training and bail support services.</w:t>
      </w:r>
    </w:p>
    <w:p w14:paraId="2E9F16CB" w14:textId="1D76388B" w:rsidR="00021B67" w:rsidRPr="00926EF1" w:rsidRDefault="00021B67" w:rsidP="00926EF1">
      <w:pPr>
        <w:spacing w:before="100" w:beforeAutospacing="1" w:after="100" w:afterAutospacing="1"/>
      </w:pPr>
      <w:r>
        <w:t>This group reports to the </w:t>
      </w:r>
      <w:r>
        <w:rPr>
          <w:rStyle w:val="Strong"/>
        </w:rPr>
        <w:t>Community Justice Programme Board</w:t>
      </w:r>
      <w:r>
        <w:t> and is responsible for delivering </w:t>
      </w:r>
      <w:r>
        <w:rPr>
          <w:rStyle w:val="Strong"/>
        </w:rPr>
        <w:t>Action 43</w:t>
      </w:r>
      <w:r>
        <w:t> of the Community Justice Delivery Plan, with a completion target of </w:t>
      </w:r>
      <w:r>
        <w:rPr>
          <w:rStyle w:val="Strong"/>
        </w:rPr>
        <w:t>April 2026</w:t>
      </w:r>
      <w:r>
        <w:t>.</w:t>
      </w:r>
    </w:p>
    <w:p w14:paraId="283A26F7" w14:textId="77777777" w:rsidR="00021B67" w:rsidRDefault="00021B67" w:rsidP="00021B67">
      <w:pPr>
        <w:spacing w:before="100" w:beforeAutospacing="1" w:after="100" w:afterAutospacing="1"/>
      </w:pPr>
      <w:r>
        <w:t>Many local areas have implemented tailored approaches to enhance bail supervision, including:</w:t>
      </w:r>
    </w:p>
    <w:p w14:paraId="59F59491" w14:textId="77777777" w:rsidR="00021B67" w:rsidRDefault="00021B67" w:rsidP="001223CA">
      <w:pPr>
        <w:numPr>
          <w:ilvl w:val="0"/>
          <w:numId w:val="35"/>
        </w:numPr>
        <w:spacing w:before="100" w:beforeAutospacing="1" w:after="100" w:afterAutospacing="1" w:line="240" w:lineRule="auto"/>
      </w:pPr>
      <w:r>
        <w:rPr>
          <w:rStyle w:val="Strong"/>
        </w:rPr>
        <w:t>Targeted engagement</w:t>
      </w:r>
      <w:r>
        <w:t> with SCTS, COPFS, and defence agents to improve understanding and confidence in bail assessments.</w:t>
      </w:r>
    </w:p>
    <w:p w14:paraId="3D51596A" w14:textId="77777777" w:rsidR="00021B67" w:rsidRDefault="00021B67" w:rsidP="001223CA">
      <w:pPr>
        <w:numPr>
          <w:ilvl w:val="0"/>
          <w:numId w:val="35"/>
        </w:numPr>
        <w:spacing w:before="100" w:beforeAutospacing="1" w:after="100" w:afterAutospacing="1" w:line="240" w:lineRule="auto"/>
      </w:pPr>
      <w:r>
        <w:rPr>
          <w:rStyle w:val="Strong"/>
        </w:rPr>
        <w:t>Enhanced use of electronic monitoring (EM)</w:t>
      </w:r>
      <w:r>
        <w:t> in supervised bail programs.</w:t>
      </w:r>
    </w:p>
    <w:p w14:paraId="74E01012" w14:textId="7FA874B3" w:rsidR="00021B67" w:rsidRDefault="00021B67" w:rsidP="001223CA">
      <w:pPr>
        <w:numPr>
          <w:ilvl w:val="0"/>
          <w:numId w:val="35"/>
        </w:numPr>
        <w:spacing w:before="100" w:beforeAutospacing="1" w:after="100" w:afterAutospacing="1" w:line="240" w:lineRule="auto"/>
      </w:pPr>
      <w:r>
        <w:rPr>
          <w:rStyle w:val="Strong"/>
        </w:rPr>
        <w:t>Daily bail screening processes</w:t>
      </w:r>
      <w:r>
        <w:t> in areas like Dumfries and Galloway, where close collaboration with legal representatives has almost doubled numbers</w:t>
      </w:r>
      <w:r w:rsidR="00926EF1">
        <w:rPr>
          <w:rStyle w:val="FootnoteReference"/>
        </w:rPr>
        <w:footnoteReference w:id="32"/>
      </w:r>
      <w:r>
        <w:t>.</w:t>
      </w:r>
    </w:p>
    <w:p w14:paraId="52D57734" w14:textId="77777777" w:rsidR="00021B67" w:rsidRDefault="00021B67" w:rsidP="00021B67">
      <w:pPr>
        <w:spacing w:before="100" w:beforeAutospacing="1" w:after="100" w:afterAutospacing="1"/>
      </w:pPr>
      <w:r>
        <w:t>However, several challenges remain:</w:t>
      </w:r>
    </w:p>
    <w:p w14:paraId="624AD8AF" w14:textId="77777777" w:rsidR="00021B67" w:rsidRDefault="00021B67" w:rsidP="001223CA">
      <w:pPr>
        <w:numPr>
          <w:ilvl w:val="0"/>
          <w:numId w:val="36"/>
        </w:numPr>
        <w:spacing w:before="100" w:beforeAutospacing="1" w:after="100" w:afterAutospacing="1" w:line="240" w:lineRule="auto"/>
      </w:pPr>
      <w:r>
        <w:rPr>
          <w:rStyle w:val="Strong"/>
        </w:rPr>
        <w:t>Geographic constraints</w:t>
      </w:r>
      <w:r>
        <w:t> in areas without local courts or where cases are handled across multiple sheriff courts, making timely assessments difficult.</w:t>
      </w:r>
    </w:p>
    <w:p w14:paraId="6C67A6C2" w14:textId="77777777" w:rsidR="00021B67" w:rsidRDefault="00021B67" w:rsidP="001223CA">
      <w:pPr>
        <w:numPr>
          <w:ilvl w:val="0"/>
          <w:numId w:val="36"/>
        </w:numPr>
        <w:spacing w:before="100" w:beforeAutospacing="1" w:after="100" w:afterAutospacing="1" w:line="240" w:lineRule="auto"/>
      </w:pPr>
      <w:r>
        <w:rPr>
          <w:rStyle w:val="Strong"/>
        </w:rPr>
        <w:t>Variability in bail service awareness</w:t>
      </w:r>
      <w:r>
        <w:t> among courts, affecting uptake.</w:t>
      </w:r>
    </w:p>
    <w:p w14:paraId="5F7563F9" w14:textId="77777777" w:rsidR="00021B67" w:rsidRDefault="00021B67" w:rsidP="001223CA">
      <w:pPr>
        <w:numPr>
          <w:ilvl w:val="0"/>
          <w:numId w:val="36"/>
        </w:numPr>
        <w:spacing w:before="100" w:beforeAutospacing="1" w:after="100" w:afterAutospacing="1" w:line="240" w:lineRule="auto"/>
      </w:pPr>
      <w:r>
        <w:rPr>
          <w:rStyle w:val="Strong"/>
        </w:rPr>
        <w:t>Increasing case complexity</w:t>
      </w:r>
      <w:r>
        <w:t> and </w:t>
      </w:r>
      <w:r>
        <w:rPr>
          <w:rStyle w:val="Strong"/>
        </w:rPr>
        <w:t>growing demand</w:t>
      </w:r>
      <w:r>
        <w:t>, placing pressure on JSW and third-sector services.</w:t>
      </w:r>
    </w:p>
    <w:p w14:paraId="35893F45" w14:textId="77777777" w:rsidR="00021B67" w:rsidRDefault="00021B67" w:rsidP="00021B67">
      <w:pPr>
        <w:rPr>
          <w:color w:val="auto"/>
        </w:rPr>
      </w:pPr>
      <w:r w:rsidRPr="00623EE6">
        <w:rPr>
          <w:color w:val="auto"/>
        </w:rPr>
        <w:t xml:space="preserve">At implementation level, local areas described their processes for ensuring delivery of assessments quickly and effectively, focusing on ‘bail opposed’ cases and custody lists. Specific practices </w:t>
      </w:r>
      <w:r>
        <w:rPr>
          <w:color w:val="auto"/>
        </w:rPr>
        <w:t xml:space="preserve">vary but </w:t>
      </w:r>
      <w:r w:rsidRPr="00623EE6">
        <w:rPr>
          <w:color w:val="auto"/>
        </w:rPr>
        <w:t>hinge on</w:t>
      </w:r>
      <w:r>
        <w:rPr>
          <w:color w:val="auto"/>
        </w:rPr>
        <w:t>;</w:t>
      </w:r>
    </w:p>
    <w:p w14:paraId="6D4CFE8C" w14:textId="5CBBED74" w:rsidR="00021B67" w:rsidRPr="00926EF1" w:rsidRDefault="00021B67" w:rsidP="001223CA">
      <w:pPr>
        <w:pStyle w:val="ListParagraph"/>
        <w:numPr>
          <w:ilvl w:val="0"/>
          <w:numId w:val="38"/>
        </w:numPr>
        <w:rPr>
          <w:color w:val="auto"/>
        </w:rPr>
      </w:pPr>
      <w:r w:rsidRPr="00926EF1">
        <w:rPr>
          <w:color w:val="auto"/>
        </w:rPr>
        <w:t xml:space="preserve">JSW access to the right information at the right time to produce a bail suitability assessment.  </w:t>
      </w:r>
    </w:p>
    <w:p w14:paraId="3DCE41D0" w14:textId="2E2F5870" w:rsidR="00021B67" w:rsidRPr="00926EF1" w:rsidRDefault="00EA042E" w:rsidP="001223CA">
      <w:pPr>
        <w:pStyle w:val="ListParagraph"/>
        <w:numPr>
          <w:ilvl w:val="0"/>
          <w:numId w:val="38"/>
        </w:numPr>
        <w:rPr>
          <w:color w:val="auto"/>
        </w:rPr>
      </w:pPr>
      <w:r>
        <w:rPr>
          <w:color w:val="auto"/>
        </w:rPr>
        <w:t>L</w:t>
      </w:r>
      <w:r w:rsidR="00021B67" w:rsidRPr="00926EF1">
        <w:rPr>
          <w:color w:val="auto"/>
        </w:rPr>
        <w:t xml:space="preserve">ocal practice decisions about how to target resources to greatest advantage. </w:t>
      </w:r>
    </w:p>
    <w:p w14:paraId="2CBF9344" w14:textId="77777777" w:rsidR="00021B67" w:rsidRDefault="00021B67" w:rsidP="00021B67">
      <w:pPr>
        <w:rPr>
          <w:color w:val="auto"/>
        </w:rPr>
      </w:pPr>
    </w:p>
    <w:p w14:paraId="4C817537" w14:textId="77777777" w:rsidR="00021B67" w:rsidRPr="00926EF1" w:rsidRDefault="00021B67" w:rsidP="00021B67">
      <w:pPr>
        <w:spacing w:before="100" w:beforeAutospacing="1" w:after="100" w:afterAutospacing="1"/>
        <w:rPr>
          <w:b/>
          <w:bCs/>
        </w:rPr>
      </w:pPr>
      <w:r w:rsidRPr="00926EF1">
        <w:rPr>
          <w:b/>
          <w:bCs/>
        </w:rPr>
        <w:t>Notable Practice</w:t>
      </w:r>
    </w:p>
    <w:p w14:paraId="1D7A8CD5" w14:textId="77777777" w:rsidR="00021B67" w:rsidRDefault="00021B67" w:rsidP="00021B67">
      <w:pPr>
        <w:spacing w:before="100" w:beforeAutospacing="1" w:after="100" w:afterAutospacing="1"/>
        <w:rPr>
          <w:color w:val="auto"/>
        </w:rPr>
      </w:pPr>
      <w:r>
        <w:lastRenderedPageBreak/>
        <w:t xml:space="preserve">Some areas have developed innovative solutions to strengthen bail supervision, such as </w:t>
      </w:r>
      <w:r>
        <w:rPr>
          <w:rStyle w:val="Strong"/>
        </w:rPr>
        <w:t>Glasgow’s co-located bail and housing teams</w:t>
      </w:r>
      <w:r>
        <w:t xml:space="preserve">, streamlining support for individuals on bail and </w:t>
      </w:r>
      <w:r>
        <w:rPr>
          <w:rStyle w:val="Strong"/>
        </w:rPr>
        <w:t>Mentoring programs like SHINE</w:t>
      </w:r>
      <w:r>
        <w:t>, which offer guidance and support during bail periods.</w:t>
      </w:r>
      <w:r w:rsidRPr="006C3988">
        <w:rPr>
          <w:color w:val="auto"/>
        </w:rPr>
        <w:t xml:space="preserve"> </w:t>
      </w:r>
      <w:r>
        <w:rPr>
          <w:color w:val="auto"/>
        </w:rPr>
        <w:t xml:space="preserve">Fife </w:t>
      </w:r>
      <w:r w:rsidRPr="00623EE6">
        <w:rPr>
          <w:color w:val="auto"/>
        </w:rPr>
        <w:t xml:space="preserve">choose to assess the bail support needs involved in </w:t>
      </w:r>
      <w:r w:rsidRPr="006E5D67">
        <w:rPr>
          <w:b/>
          <w:bCs/>
          <w:color w:val="auto"/>
        </w:rPr>
        <w:t xml:space="preserve">all </w:t>
      </w:r>
      <w:r w:rsidRPr="00623EE6">
        <w:rPr>
          <w:color w:val="auto"/>
        </w:rPr>
        <w:t>cases, not only those for which bail is to be opposed, to ensure that all individuals have the opportunity to access support. This appears to provide a robust triaging process</w:t>
      </w:r>
      <w:r>
        <w:rPr>
          <w:color w:val="auto"/>
        </w:rPr>
        <w:t xml:space="preserve">. </w:t>
      </w:r>
    </w:p>
    <w:p w14:paraId="30956540" w14:textId="77777777" w:rsidR="00021B67" w:rsidRPr="00F9050F" w:rsidRDefault="00021B67" w:rsidP="00021B67">
      <w:pPr>
        <w:spacing w:before="100" w:beforeAutospacing="1" w:after="100" w:afterAutospacing="1"/>
        <w:rPr>
          <w:b/>
          <w:bCs/>
          <w:color w:val="auto"/>
        </w:rPr>
      </w:pPr>
      <w:r w:rsidRPr="00F9050F">
        <w:rPr>
          <w:b/>
          <w:bCs/>
          <w:color w:val="auto"/>
        </w:rPr>
        <w:t>Next Steps</w:t>
      </w:r>
    </w:p>
    <w:p w14:paraId="6E5A2742" w14:textId="4F8FAB40" w:rsidR="00021B67" w:rsidRDefault="00021B67" w:rsidP="00021B67">
      <w:pPr>
        <w:spacing w:before="100" w:beforeAutospacing="1" w:after="100" w:afterAutospacing="1"/>
      </w:pPr>
      <w:r>
        <w:rPr>
          <w:color w:val="auto"/>
        </w:rPr>
        <w:t xml:space="preserve">The numbers of individuals assessed for bail supervision versus the individuals who receive bail supervision (conversion rate) shows </w:t>
      </w:r>
      <w:r w:rsidRPr="0013268F">
        <w:rPr>
          <w:b/>
          <w:bCs/>
          <w:color w:val="auto"/>
        </w:rPr>
        <w:t>huge variation</w:t>
      </w:r>
      <w:r>
        <w:rPr>
          <w:color w:val="auto"/>
        </w:rPr>
        <w:t xml:space="preserve"> across the country</w:t>
      </w:r>
      <w:r w:rsidR="00EA042E">
        <w:t xml:space="preserve"> - </w:t>
      </w:r>
      <w:r>
        <w:t xml:space="preserve">this is a matter for concern. Work continues to analyse bail supervision conversion rates, understand barriers to uptake, and enhance service consistency across Scotland. Findings will inform </w:t>
      </w:r>
      <w:r w:rsidRPr="0013268F">
        <w:rPr>
          <w:b/>
          <w:bCs/>
        </w:rPr>
        <w:t>ongoing efforts to strengthen</w:t>
      </w:r>
      <w:r>
        <w:t xml:space="preserve"> bail supervision as a viable alternative to remand.</w:t>
      </w:r>
    </w:p>
    <w:p w14:paraId="58C0E00D" w14:textId="77777777" w:rsidR="006C6A9E" w:rsidRPr="00623EE6" w:rsidRDefault="006C6A9E">
      <w:pPr>
        <w:spacing w:line="240" w:lineRule="auto"/>
        <w:rPr>
          <w:rFonts w:eastAsiaTheme="majorEastAsia" w:cstheme="majorBidi"/>
          <w:b/>
          <w:color w:val="auto"/>
          <w:szCs w:val="26"/>
        </w:rPr>
      </w:pPr>
      <w:r w:rsidRPr="00623EE6">
        <w:rPr>
          <w:rFonts w:eastAsiaTheme="majorEastAsia" w:cstheme="majorBidi"/>
          <w:b/>
          <w:color w:val="auto"/>
          <w:szCs w:val="26"/>
        </w:rPr>
        <w:br w:type="page"/>
      </w:r>
    </w:p>
    <w:p w14:paraId="30A635F0" w14:textId="7D34417A" w:rsidR="00C168C4" w:rsidRPr="00623EE6" w:rsidRDefault="00C168C4" w:rsidP="00C168C4">
      <w:pPr>
        <w:keepNext/>
        <w:keepLines/>
        <w:spacing w:before="40" w:after="40" w:line="240" w:lineRule="auto"/>
        <w:outlineLvl w:val="1"/>
        <w:rPr>
          <w:rFonts w:eastAsiaTheme="majorEastAsia" w:cstheme="majorBidi"/>
          <w:b/>
          <w:color w:val="auto"/>
          <w:szCs w:val="26"/>
        </w:rPr>
      </w:pPr>
      <w:bookmarkStart w:id="16" w:name="_Toc193901790"/>
      <w:r w:rsidRPr="00623EE6">
        <w:rPr>
          <w:rFonts w:eastAsiaTheme="majorEastAsia" w:cstheme="majorBidi"/>
          <w:b/>
          <w:color w:val="auto"/>
          <w:szCs w:val="26"/>
        </w:rPr>
        <w:lastRenderedPageBreak/>
        <w:t>Priority Action 4: Strengthen options for safe and supported management in the community by increasing and widening the use of electronic monitoring technologies</w:t>
      </w:r>
      <w:bookmarkEnd w:id="16"/>
    </w:p>
    <w:p w14:paraId="2B1E8F5B" w14:textId="77777777" w:rsidR="0051042F" w:rsidRPr="00623EE6" w:rsidRDefault="0051042F" w:rsidP="0051042F">
      <w:pPr>
        <w:pStyle w:val="Heading3"/>
        <w:rPr>
          <w:lang w:eastAsia="en-GB"/>
        </w:rPr>
      </w:pPr>
      <w:r w:rsidRPr="00623EE6">
        <w:rPr>
          <w:lang w:eastAsia="en-GB"/>
        </w:rPr>
        <w:t>Performance</w:t>
      </w:r>
    </w:p>
    <w:p w14:paraId="6DDC8203" w14:textId="77777777" w:rsidR="00F9050F" w:rsidRDefault="00F9050F" w:rsidP="002E3A3F">
      <w:pPr>
        <w:spacing w:before="100" w:beforeAutospacing="1" w:after="100" w:afterAutospacing="1"/>
        <w:ind w:left="360"/>
      </w:pPr>
      <w:r>
        <w:t>The </w:t>
      </w:r>
      <w:r>
        <w:rPr>
          <w:rStyle w:val="Strong"/>
        </w:rPr>
        <w:t>Community Justice Performance Framework (CJPF)</w:t>
      </w:r>
      <w:r>
        <w:t> does not currently define a </w:t>
      </w:r>
      <w:r>
        <w:rPr>
          <w:rStyle w:val="Strong"/>
        </w:rPr>
        <w:t>national outcome or specific indicators</w:t>
      </w:r>
      <w:r>
        <w:t> to monitor performance related to this priority action. However, some data on the </w:t>
      </w:r>
      <w:r>
        <w:rPr>
          <w:rStyle w:val="Strong"/>
        </w:rPr>
        <w:t>use of EM during the reporting year</w:t>
      </w:r>
      <w:r>
        <w:t> is available.</w:t>
      </w:r>
    </w:p>
    <w:p w14:paraId="3F74A068" w14:textId="77777777" w:rsidR="00F9050F" w:rsidRPr="00161C9C" w:rsidRDefault="00F9050F" w:rsidP="002E3A3F">
      <w:pPr>
        <w:pStyle w:val="Heading3"/>
        <w:ind w:left="360"/>
        <w:rPr>
          <w:rFonts w:eastAsia="Times New Roman"/>
          <w:b w:val="0"/>
          <w:bCs w:val="0"/>
          <w:i/>
          <w:iCs/>
        </w:rPr>
      </w:pPr>
      <w:r w:rsidRPr="00161C9C">
        <w:rPr>
          <w:rFonts w:eastAsia="Times New Roman"/>
        </w:rPr>
        <w:t>Key Data on Electronic Monitoring in 2023-24</w:t>
      </w:r>
    </w:p>
    <w:p w14:paraId="783A7E3C" w14:textId="77777777" w:rsidR="00F9050F" w:rsidRDefault="00F9050F" w:rsidP="002E3A3F">
      <w:pPr>
        <w:spacing w:before="100" w:beforeAutospacing="1" w:after="100" w:afterAutospacing="1"/>
        <w:ind w:left="360"/>
      </w:pPr>
      <w:r>
        <w:t>At the time of writing, </w:t>
      </w:r>
      <w:r>
        <w:rPr>
          <w:rStyle w:val="Strong"/>
        </w:rPr>
        <w:t>criminal proceedings statistics</w:t>
      </w:r>
      <w:r>
        <w:t> reflecting the total number of EM orders for the reporting year are </w:t>
      </w:r>
      <w:r>
        <w:rPr>
          <w:rStyle w:val="Strong"/>
        </w:rPr>
        <w:t>not yet available</w:t>
      </w:r>
      <w:r>
        <w:t>. However, </w:t>
      </w:r>
      <w:r>
        <w:rPr>
          <w:rStyle w:val="Strong"/>
        </w:rPr>
        <w:t>G4S</w:t>
      </w:r>
      <w:r>
        <w:t>, the Scottish Government’s </w:t>
      </w:r>
      <w:r>
        <w:rPr>
          <w:rStyle w:val="Strong"/>
        </w:rPr>
        <w:t>electronic monitoring (EM) contractor</w:t>
      </w:r>
      <w:r>
        <w:t>, has published its </w:t>
      </w:r>
      <w:hyperlink r:id="rId36" w:history="1">
        <w:r w:rsidRPr="000C5FE3">
          <w:rPr>
            <w:rStyle w:val="Hyperlink"/>
          </w:rPr>
          <w:t>2023-24 statistical bulletin</w:t>
        </w:r>
      </w:hyperlink>
      <w:r>
        <w:t>, providing insight into EM usage:</w:t>
      </w:r>
    </w:p>
    <w:p w14:paraId="1B7CF619" w14:textId="48B6A5CE" w:rsidR="00C168C4" w:rsidRPr="00623EE6" w:rsidRDefault="00C168C4" w:rsidP="001223CA">
      <w:pPr>
        <w:pStyle w:val="ListParagraph"/>
        <w:numPr>
          <w:ilvl w:val="0"/>
          <w:numId w:val="11"/>
        </w:numPr>
        <w:rPr>
          <w:color w:val="auto"/>
          <w:lang w:eastAsia="en-GB"/>
        </w:rPr>
      </w:pPr>
      <w:r w:rsidRPr="00385375">
        <w:rPr>
          <w:b/>
          <w:bCs/>
          <w:color w:val="auto"/>
          <w:lang w:eastAsia="en-GB"/>
        </w:rPr>
        <w:t>3</w:t>
      </w:r>
      <w:r w:rsidR="0007740D" w:rsidRPr="00385375">
        <w:rPr>
          <w:b/>
          <w:bCs/>
          <w:color w:val="auto"/>
          <w:lang w:eastAsia="en-GB"/>
        </w:rPr>
        <w:t>,</w:t>
      </w:r>
      <w:r w:rsidRPr="00385375">
        <w:rPr>
          <w:b/>
          <w:bCs/>
          <w:color w:val="auto"/>
          <w:lang w:eastAsia="en-GB"/>
        </w:rPr>
        <w:t>768</w:t>
      </w:r>
      <w:r w:rsidRPr="00623EE6">
        <w:rPr>
          <w:color w:val="auto"/>
          <w:lang w:eastAsia="en-GB"/>
        </w:rPr>
        <w:t xml:space="preserve"> Restriction of Liberty Orders were imposed across Scotland, making up </w:t>
      </w:r>
      <w:r w:rsidRPr="003800CD">
        <w:rPr>
          <w:b/>
          <w:bCs/>
          <w:color w:val="auto"/>
          <w:lang w:eastAsia="en-GB"/>
        </w:rPr>
        <w:t>66%</w:t>
      </w:r>
      <w:r w:rsidRPr="00623EE6">
        <w:rPr>
          <w:color w:val="auto"/>
          <w:lang w:eastAsia="en-GB"/>
        </w:rPr>
        <w:t xml:space="preserve"> of the total number of all EM order</w:t>
      </w:r>
      <w:r w:rsidR="00385375">
        <w:rPr>
          <w:color w:val="auto"/>
          <w:lang w:eastAsia="en-GB"/>
        </w:rPr>
        <w:t>s</w:t>
      </w:r>
      <w:r w:rsidR="0090183B" w:rsidRPr="00623EE6">
        <w:rPr>
          <w:color w:val="auto"/>
          <w:lang w:eastAsia="en-GB"/>
        </w:rPr>
        <w:t>.</w:t>
      </w:r>
      <w:r w:rsidRPr="00623EE6">
        <w:rPr>
          <w:vertAlign w:val="superscript"/>
          <w:lang w:eastAsia="en-GB"/>
        </w:rPr>
        <w:footnoteReference w:id="33"/>
      </w:r>
      <w:r w:rsidRPr="00623EE6">
        <w:rPr>
          <w:vertAlign w:val="superscript"/>
          <w:lang w:eastAsia="en-GB"/>
        </w:rPr>
        <w:footnoteReference w:id="34"/>
      </w:r>
      <w:r w:rsidRPr="00623EE6">
        <w:rPr>
          <w:color w:val="auto"/>
          <w:lang w:eastAsia="en-GB"/>
        </w:rPr>
        <w:t xml:space="preserve"> </w:t>
      </w:r>
    </w:p>
    <w:p w14:paraId="23F9DDBF" w14:textId="3E80453D" w:rsidR="00C168C4" w:rsidRPr="00623EE6" w:rsidRDefault="00F54542" w:rsidP="001223CA">
      <w:pPr>
        <w:pStyle w:val="ListParagraph"/>
        <w:numPr>
          <w:ilvl w:val="0"/>
          <w:numId w:val="11"/>
        </w:numPr>
        <w:rPr>
          <w:color w:val="auto"/>
          <w:lang w:eastAsia="en-GB"/>
        </w:rPr>
      </w:pPr>
      <w:r w:rsidRPr="003800CD">
        <w:rPr>
          <w:b/>
          <w:bCs/>
          <w:color w:val="auto"/>
          <w:lang w:eastAsia="en-GB"/>
        </w:rPr>
        <w:t>273</w:t>
      </w:r>
      <w:r w:rsidRPr="00623EE6">
        <w:rPr>
          <w:color w:val="auto"/>
          <w:lang w:eastAsia="en-GB"/>
        </w:rPr>
        <w:t xml:space="preserve"> </w:t>
      </w:r>
      <w:r w:rsidR="00C168C4" w:rsidRPr="00623EE6">
        <w:rPr>
          <w:color w:val="auto"/>
          <w:lang w:eastAsia="en-GB"/>
        </w:rPr>
        <w:t xml:space="preserve">Restricted Movement Requirements (RMRs) were imposed as part of a </w:t>
      </w:r>
      <w:r w:rsidR="00C132F1" w:rsidRPr="00C132F1">
        <w:rPr>
          <w:b/>
          <w:bCs/>
          <w:color w:val="auto"/>
          <w:lang w:eastAsia="en-GB"/>
        </w:rPr>
        <w:t>Community Payback Order (</w:t>
      </w:r>
      <w:r w:rsidR="00C168C4" w:rsidRPr="00C132F1">
        <w:rPr>
          <w:b/>
          <w:bCs/>
          <w:color w:val="auto"/>
          <w:lang w:eastAsia="en-GB"/>
        </w:rPr>
        <w:t>CPO</w:t>
      </w:r>
      <w:r w:rsidR="00C132F1" w:rsidRPr="00C132F1">
        <w:rPr>
          <w:b/>
          <w:bCs/>
          <w:color w:val="auto"/>
          <w:lang w:eastAsia="en-GB"/>
        </w:rPr>
        <w:t>)</w:t>
      </w:r>
      <w:r w:rsidR="00C168C4" w:rsidRPr="00623EE6">
        <w:rPr>
          <w:color w:val="auto"/>
          <w:lang w:eastAsia="en-GB"/>
        </w:rPr>
        <w:t xml:space="preserve">, and none were imposed with a </w:t>
      </w:r>
      <w:r w:rsidR="00C132F1" w:rsidRPr="00433F83">
        <w:rPr>
          <w:b/>
          <w:bCs/>
          <w:color w:val="auto"/>
          <w:lang w:eastAsia="en-GB"/>
        </w:rPr>
        <w:t>D</w:t>
      </w:r>
      <w:r w:rsidR="00DC69D0" w:rsidRPr="00433F83">
        <w:rPr>
          <w:b/>
          <w:bCs/>
          <w:color w:val="auto"/>
          <w:lang w:eastAsia="en-GB"/>
        </w:rPr>
        <w:t xml:space="preserve">rug </w:t>
      </w:r>
      <w:r w:rsidR="00C132F1" w:rsidRPr="00433F83">
        <w:rPr>
          <w:b/>
          <w:bCs/>
          <w:color w:val="auto"/>
          <w:lang w:eastAsia="en-GB"/>
        </w:rPr>
        <w:t>T</w:t>
      </w:r>
      <w:r w:rsidR="00DC69D0" w:rsidRPr="00433F83">
        <w:rPr>
          <w:b/>
          <w:bCs/>
          <w:color w:val="auto"/>
          <w:lang w:eastAsia="en-GB"/>
        </w:rPr>
        <w:t xml:space="preserve">reatment and </w:t>
      </w:r>
      <w:r w:rsidR="00C132F1" w:rsidRPr="00433F83">
        <w:rPr>
          <w:b/>
          <w:bCs/>
          <w:color w:val="auto"/>
          <w:lang w:eastAsia="en-GB"/>
        </w:rPr>
        <w:t>T</w:t>
      </w:r>
      <w:r w:rsidR="00DC69D0" w:rsidRPr="00433F83">
        <w:rPr>
          <w:b/>
          <w:bCs/>
          <w:color w:val="auto"/>
          <w:lang w:eastAsia="en-GB"/>
        </w:rPr>
        <w:t xml:space="preserve">esting </w:t>
      </w:r>
      <w:r w:rsidR="00C132F1" w:rsidRPr="00433F83">
        <w:rPr>
          <w:b/>
          <w:bCs/>
          <w:color w:val="auto"/>
          <w:lang w:eastAsia="en-GB"/>
        </w:rPr>
        <w:t>O</w:t>
      </w:r>
      <w:r w:rsidR="00DC69D0" w:rsidRPr="00433F83">
        <w:rPr>
          <w:b/>
          <w:bCs/>
          <w:color w:val="auto"/>
          <w:lang w:eastAsia="en-GB"/>
        </w:rPr>
        <w:t>rder (DTTO)</w:t>
      </w:r>
      <w:r w:rsidR="00C168C4" w:rsidRPr="00433F83">
        <w:rPr>
          <w:b/>
          <w:bCs/>
          <w:color w:val="auto"/>
          <w:lang w:eastAsia="en-GB"/>
        </w:rPr>
        <w:t>.</w:t>
      </w:r>
    </w:p>
    <w:p w14:paraId="43BCB8DC" w14:textId="11F52384" w:rsidR="00C168C4" w:rsidRPr="00A105D6" w:rsidRDefault="00C168C4" w:rsidP="001223CA">
      <w:pPr>
        <w:pStyle w:val="ListParagraph"/>
        <w:numPr>
          <w:ilvl w:val="0"/>
          <w:numId w:val="11"/>
        </w:numPr>
        <w:rPr>
          <w:b/>
          <w:bCs/>
          <w:color w:val="auto"/>
          <w:lang w:eastAsia="en-GB"/>
        </w:rPr>
      </w:pPr>
      <w:r w:rsidRPr="00A105D6">
        <w:rPr>
          <w:b/>
          <w:bCs/>
          <w:color w:val="auto"/>
          <w:lang w:eastAsia="en-GB"/>
        </w:rPr>
        <w:t>1</w:t>
      </w:r>
      <w:r w:rsidR="0007740D" w:rsidRPr="00A105D6">
        <w:rPr>
          <w:b/>
          <w:bCs/>
          <w:color w:val="auto"/>
          <w:lang w:eastAsia="en-GB"/>
        </w:rPr>
        <w:t>,</w:t>
      </w:r>
      <w:r w:rsidRPr="00A105D6">
        <w:rPr>
          <w:b/>
          <w:bCs/>
          <w:color w:val="auto"/>
          <w:lang w:eastAsia="en-GB"/>
        </w:rPr>
        <w:t xml:space="preserve">140 </w:t>
      </w:r>
      <w:r w:rsidR="0090183B" w:rsidRPr="00A105D6">
        <w:rPr>
          <w:color w:val="auto"/>
          <w:lang w:eastAsia="en-GB"/>
        </w:rPr>
        <w:t>EM</w:t>
      </w:r>
      <w:r w:rsidRPr="00A105D6">
        <w:rPr>
          <w:color w:val="auto"/>
          <w:lang w:eastAsia="en-GB"/>
        </w:rPr>
        <w:t xml:space="preserve"> as a condition of </w:t>
      </w:r>
      <w:r w:rsidR="0090183B" w:rsidRPr="00A105D6">
        <w:rPr>
          <w:color w:val="auto"/>
          <w:lang w:eastAsia="en-GB"/>
        </w:rPr>
        <w:t>b</w:t>
      </w:r>
      <w:r w:rsidRPr="00A105D6">
        <w:rPr>
          <w:color w:val="auto"/>
          <w:lang w:eastAsia="en-GB"/>
        </w:rPr>
        <w:t xml:space="preserve">ail </w:t>
      </w:r>
      <w:r w:rsidR="00FD4FD7" w:rsidRPr="00A105D6">
        <w:rPr>
          <w:color w:val="auto"/>
          <w:lang w:eastAsia="en-GB"/>
        </w:rPr>
        <w:t>o</w:t>
      </w:r>
      <w:r w:rsidRPr="00A105D6">
        <w:rPr>
          <w:color w:val="auto"/>
          <w:lang w:eastAsia="en-GB"/>
        </w:rPr>
        <w:t>rders were imposed.</w:t>
      </w:r>
      <w:r w:rsidR="0079518D" w:rsidRPr="00A105D6">
        <w:rPr>
          <w:b/>
          <w:bCs/>
          <w:color w:val="auto"/>
          <w:lang w:eastAsia="en-GB"/>
        </w:rPr>
        <w:t xml:space="preserve"> </w:t>
      </w:r>
    </w:p>
    <w:p w14:paraId="7F4A3621" w14:textId="5BDE6195" w:rsidR="002820D9" w:rsidRDefault="0098053C" w:rsidP="001223CA">
      <w:pPr>
        <w:pStyle w:val="ListParagraph"/>
        <w:numPr>
          <w:ilvl w:val="0"/>
          <w:numId w:val="11"/>
        </w:numPr>
        <w:rPr>
          <w:color w:val="auto"/>
          <w:lang w:eastAsia="en-GB"/>
        </w:rPr>
      </w:pPr>
      <w:r>
        <w:rPr>
          <w:color w:val="auto"/>
          <w:lang w:eastAsia="en-GB"/>
        </w:rPr>
        <w:t>The number</w:t>
      </w:r>
      <w:r w:rsidR="00C168C4" w:rsidRPr="00623EE6">
        <w:rPr>
          <w:color w:val="auto"/>
          <w:lang w:eastAsia="en-GB"/>
        </w:rPr>
        <w:t xml:space="preserve"> of </w:t>
      </w:r>
      <w:r w:rsidRPr="0098053C">
        <w:rPr>
          <w:b/>
          <w:bCs/>
          <w:color w:val="auto"/>
          <w:lang w:eastAsia="en-GB"/>
        </w:rPr>
        <w:t>H</w:t>
      </w:r>
      <w:r w:rsidR="00C168C4" w:rsidRPr="0098053C">
        <w:rPr>
          <w:b/>
          <w:bCs/>
          <w:color w:val="auto"/>
          <w:lang w:eastAsia="en-GB"/>
        </w:rPr>
        <w:t xml:space="preserve">ome </w:t>
      </w:r>
      <w:r w:rsidRPr="0098053C">
        <w:rPr>
          <w:b/>
          <w:bCs/>
          <w:color w:val="auto"/>
          <w:lang w:eastAsia="en-GB"/>
        </w:rPr>
        <w:t>D</w:t>
      </w:r>
      <w:r w:rsidR="00C168C4" w:rsidRPr="0098053C">
        <w:rPr>
          <w:b/>
          <w:bCs/>
          <w:color w:val="auto"/>
          <w:lang w:eastAsia="en-GB"/>
        </w:rPr>
        <w:t xml:space="preserve">etention </w:t>
      </w:r>
      <w:r w:rsidRPr="0098053C">
        <w:rPr>
          <w:b/>
          <w:bCs/>
          <w:color w:val="auto"/>
          <w:lang w:eastAsia="en-GB"/>
        </w:rPr>
        <w:t>C</w:t>
      </w:r>
      <w:r w:rsidR="00C168C4" w:rsidRPr="0098053C">
        <w:rPr>
          <w:b/>
          <w:bCs/>
          <w:color w:val="auto"/>
          <w:lang w:eastAsia="en-GB"/>
        </w:rPr>
        <w:t>urfew (HDC) assessment reports</w:t>
      </w:r>
      <w:r w:rsidR="00C168C4" w:rsidRPr="00623EE6">
        <w:rPr>
          <w:color w:val="auto"/>
          <w:lang w:eastAsia="en-GB"/>
        </w:rPr>
        <w:t xml:space="preserve"> have been </w:t>
      </w:r>
      <w:r>
        <w:rPr>
          <w:color w:val="auto"/>
          <w:lang w:eastAsia="en-GB"/>
        </w:rPr>
        <w:t>stable</w:t>
      </w:r>
      <w:r w:rsidR="00C168C4" w:rsidRPr="00623EE6">
        <w:rPr>
          <w:color w:val="auto"/>
          <w:lang w:eastAsia="en-GB"/>
        </w:rPr>
        <w:t xml:space="preserve"> over the last five years, with </w:t>
      </w:r>
      <w:r w:rsidR="00132780" w:rsidRPr="001A2E17">
        <w:rPr>
          <w:b/>
          <w:bCs/>
          <w:color w:val="auto"/>
          <w:lang w:eastAsia="en-GB"/>
        </w:rPr>
        <w:t>745 cases</w:t>
      </w:r>
      <w:r w:rsidR="00132780" w:rsidRPr="00623EE6">
        <w:rPr>
          <w:color w:val="auto"/>
          <w:lang w:eastAsia="en-GB"/>
        </w:rPr>
        <w:t xml:space="preserve"> </w:t>
      </w:r>
      <w:r w:rsidR="00C168C4" w:rsidRPr="00623EE6">
        <w:rPr>
          <w:color w:val="auto"/>
          <w:lang w:eastAsia="en-GB"/>
        </w:rPr>
        <w:t>completed in 2023-24</w:t>
      </w:r>
      <w:r w:rsidR="00A82D7A" w:rsidRPr="00623EE6">
        <w:rPr>
          <w:color w:val="auto"/>
          <w:lang w:eastAsia="en-GB"/>
        </w:rPr>
        <w:t>.</w:t>
      </w:r>
      <w:r w:rsidR="00C168C4" w:rsidRPr="00623EE6">
        <w:rPr>
          <w:vertAlign w:val="superscript"/>
          <w:lang w:eastAsia="en-GB"/>
        </w:rPr>
        <w:footnoteReference w:id="35"/>
      </w:r>
      <w:r w:rsidR="00C168C4" w:rsidRPr="00623EE6">
        <w:rPr>
          <w:color w:val="auto"/>
          <w:lang w:eastAsia="en-GB"/>
        </w:rPr>
        <w:t xml:space="preserve"> </w:t>
      </w:r>
    </w:p>
    <w:p w14:paraId="3A0CACE9" w14:textId="71610CEA" w:rsidR="00C168C4" w:rsidRPr="00623EE6" w:rsidRDefault="00C168C4" w:rsidP="001223CA">
      <w:pPr>
        <w:pStyle w:val="ListParagraph"/>
        <w:numPr>
          <w:ilvl w:val="0"/>
          <w:numId w:val="11"/>
        </w:numPr>
        <w:rPr>
          <w:color w:val="auto"/>
          <w:lang w:eastAsia="en-GB"/>
        </w:rPr>
      </w:pPr>
      <w:r w:rsidRPr="001A2E17">
        <w:rPr>
          <w:b/>
          <w:bCs/>
          <w:color w:val="auto"/>
          <w:lang w:eastAsia="en-GB"/>
        </w:rPr>
        <w:t>265</w:t>
      </w:r>
      <w:r w:rsidRPr="00623EE6">
        <w:rPr>
          <w:color w:val="auto"/>
          <w:lang w:eastAsia="en-GB"/>
        </w:rPr>
        <w:t xml:space="preserve"> HDCs </w:t>
      </w:r>
      <w:r w:rsidR="002820D9">
        <w:rPr>
          <w:color w:val="auto"/>
          <w:lang w:eastAsia="en-GB"/>
        </w:rPr>
        <w:t xml:space="preserve">were </w:t>
      </w:r>
      <w:r w:rsidRPr="00623EE6">
        <w:rPr>
          <w:color w:val="auto"/>
          <w:lang w:eastAsia="en-GB"/>
        </w:rPr>
        <w:t xml:space="preserve">imposed within the reporting period. </w:t>
      </w:r>
    </w:p>
    <w:p w14:paraId="0514295E" w14:textId="77777777" w:rsidR="000B47CF" w:rsidRDefault="000B47CF" w:rsidP="000B47CF">
      <w:pPr>
        <w:pStyle w:val="Heading3"/>
      </w:pPr>
      <w:r>
        <w:t>Opportunities and Challenges in EM Implementation</w:t>
      </w:r>
    </w:p>
    <w:p w14:paraId="71839C57" w14:textId="77777777" w:rsidR="000B47CF" w:rsidRDefault="000B47CF" w:rsidP="000B47CF">
      <w:pPr>
        <w:spacing w:before="100" w:beforeAutospacing="1" w:after="100" w:afterAutospacing="1"/>
      </w:pPr>
      <w:r>
        <w:t>The </w:t>
      </w:r>
      <w:r>
        <w:rPr>
          <w:rStyle w:val="Strong"/>
        </w:rPr>
        <w:t>Management of Offenders (Scotland) Act 2019</w:t>
      </w:r>
      <w:r>
        <w:t> expanded EM provisions to </w:t>
      </w:r>
      <w:r>
        <w:rPr>
          <w:rStyle w:val="Strong"/>
        </w:rPr>
        <w:t>bail and community-based sentences</w:t>
      </w:r>
      <w:r>
        <w:t>, broadening its potential application. Whil</w:t>
      </w:r>
      <w:r w:rsidRPr="00161C9C">
        <w:t>e</w:t>
      </w:r>
      <w:r w:rsidRPr="00161C9C">
        <w:rPr>
          <w:b/>
          <w:bCs/>
          <w:i/>
          <w:iCs/>
        </w:rPr>
        <w:t> </w:t>
      </w:r>
      <w:r w:rsidRPr="00161C9C">
        <w:rPr>
          <w:rStyle w:val="Strong"/>
          <w:b w:val="0"/>
          <w:bCs w:val="0"/>
        </w:rPr>
        <w:t xml:space="preserve">EM has </w:t>
      </w:r>
      <w:r w:rsidRPr="00161C9C">
        <w:rPr>
          <w:rStyle w:val="Strong"/>
          <w:b w:val="0"/>
          <w:bCs w:val="0"/>
        </w:rPr>
        <w:lastRenderedPageBreak/>
        <w:t>been increasingly used</w:t>
      </w:r>
      <w:r w:rsidRPr="00161C9C">
        <w:rPr>
          <w:b/>
          <w:bCs/>
        </w:rPr>
        <w:t xml:space="preserve">, </w:t>
      </w:r>
      <w:r w:rsidRPr="00161C9C">
        <w:t xml:space="preserve">there </w:t>
      </w:r>
      <w:r w:rsidRPr="00161C9C">
        <w:rPr>
          <w:b/>
          <w:bCs/>
        </w:rPr>
        <w:t>remain significant opportunities</w:t>
      </w:r>
      <w:r w:rsidRPr="00161C9C">
        <w:t xml:space="preserve"> for further </w:t>
      </w:r>
      <w:r>
        <w:t>development, provided </w:t>
      </w:r>
      <w:r>
        <w:rPr>
          <w:rStyle w:val="Strong"/>
        </w:rPr>
        <w:t>sufficient support services</w:t>
      </w:r>
      <w:r>
        <w:t> are in place and </w:t>
      </w:r>
      <w:r>
        <w:rPr>
          <w:rStyle w:val="Strong"/>
        </w:rPr>
        <w:t xml:space="preserve">implementation challenges </w:t>
      </w:r>
      <w:r>
        <w:t>are addressed.</w:t>
      </w:r>
    </w:p>
    <w:p w14:paraId="6111A15A" w14:textId="77777777" w:rsidR="000B47CF" w:rsidRPr="00161C9C" w:rsidRDefault="000B47CF" w:rsidP="000B47CF">
      <w:pPr>
        <w:pStyle w:val="Heading4"/>
        <w:rPr>
          <w:rFonts w:eastAsia="Times New Roman"/>
          <w:b/>
          <w:bCs/>
          <w:i w:val="0"/>
          <w:iCs w:val="0"/>
        </w:rPr>
      </w:pPr>
      <w:r w:rsidRPr="00161C9C">
        <w:rPr>
          <w:rFonts w:eastAsia="Times New Roman"/>
          <w:b/>
          <w:bCs/>
          <w:i w:val="0"/>
          <w:iCs w:val="0"/>
        </w:rPr>
        <w:t>Benefits of EM</w:t>
      </w:r>
    </w:p>
    <w:p w14:paraId="7C67DB53" w14:textId="77777777" w:rsidR="000B47CF" w:rsidRDefault="000B47CF" w:rsidP="001223CA">
      <w:pPr>
        <w:numPr>
          <w:ilvl w:val="0"/>
          <w:numId w:val="39"/>
        </w:numPr>
        <w:spacing w:before="100" w:beforeAutospacing="1" w:after="100" w:afterAutospacing="1" w:line="240" w:lineRule="auto"/>
      </w:pPr>
      <w:r>
        <w:t>EM is recognised as a valuable tool for </w:t>
      </w:r>
      <w:r>
        <w:rPr>
          <w:rStyle w:val="Strong"/>
        </w:rPr>
        <w:t>supervision and public protection</w:t>
      </w:r>
      <w:r>
        <w:t>, particularly in bail cases.</w:t>
      </w:r>
    </w:p>
    <w:p w14:paraId="3755F2FE" w14:textId="77777777" w:rsidR="000B47CF" w:rsidRDefault="000B47CF" w:rsidP="001223CA">
      <w:pPr>
        <w:numPr>
          <w:ilvl w:val="0"/>
          <w:numId w:val="39"/>
        </w:numPr>
        <w:spacing w:before="100" w:beforeAutospacing="1" w:after="100" w:afterAutospacing="1" w:line="240" w:lineRule="auto"/>
      </w:pPr>
      <w:r>
        <w:t>Increased use of EM can </w:t>
      </w:r>
      <w:r>
        <w:rPr>
          <w:rStyle w:val="Strong"/>
        </w:rPr>
        <w:t>help reduce reliance on remand</w:t>
      </w:r>
      <w:r>
        <w:t>.</w:t>
      </w:r>
    </w:p>
    <w:p w14:paraId="7757CD37" w14:textId="77777777" w:rsidR="000B47CF" w:rsidRPr="00161C9C" w:rsidRDefault="000B47CF" w:rsidP="000B47CF">
      <w:pPr>
        <w:pStyle w:val="Heading4"/>
        <w:rPr>
          <w:rFonts w:eastAsia="Times New Roman"/>
          <w:b/>
          <w:bCs/>
          <w:i w:val="0"/>
          <w:iCs w:val="0"/>
        </w:rPr>
      </w:pPr>
      <w:r w:rsidRPr="00161C9C">
        <w:rPr>
          <w:rFonts w:eastAsia="Times New Roman"/>
          <w:b/>
          <w:bCs/>
          <w:i w:val="0"/>
          <w:iCs w:val="0"/>
        </w:rPr>
        <w:t>Key Challenges</w:t>
      </w:r>
    </w:p>
    <w:p w14:paraId="7E68BA1A" w14:textId="77777777" w:rsidR="000B47CF" w:rsidRDefault="000B47CF" w:rsidP="001223CA">
      <w:pPr>
        <w:numPr>
          <w:ilvl w:val="0"/>
          <w:numId w:val="40"/>
        </w:numPr>
        <w:spacing w:before="100" w:beforeAutospacing="1" w:after="100" w:afterAutospacing="1" w:line="240" w:lineRule="auto"/>
      </w:pPr>
      <w:r>
        <w:rPr>
          <w:rStyle w:val="Strong"/>
        </w:rPr>
        <w:t>Geographic Barriers</w:t>
      </w:r>
      <w:r>
        <w:t>: Rural and island communities face logistical challenges, </w:t>
      </w:r>
      <w:r w:rsidRPr="000B47CF">
        <w:rPr>
          <w:rStyle w:val="Strong"/>
          <w:b w:val="0"/>
          <w:bCs w:val="0"/>
        </w:rPr>
        <w:t>limiting access</w:t>
      </w:r>
      <w:r>
        <w:t> to timely suitability assessments and installation.</w:t>
      </w:r>
    </w:p>
    <w:p w14:paraId="12B872DB" w14:textId="77777777" w:rsidR="000B47CF" w:rsidRDefault="000B47CF" w:rsidP="001223CA">
      <w:pPr>
        <w:numPr>
          <w:ilvl w:val="0"/>
          <w:numId w:val="40"/>
        </w:numPr>
        <w:spacing w:before="100" w:beforeAutospacing="1" w:after="100" w:afterAutospacing="1" w:line="240" w:lineRule="auto"/>
      </w:pPr>
      <w:r>
        <w:rPr>
          <w:rStyle w:val="Strong"/>
        </w:rPr>
        <w:t>Suitability Assessments</w:t>
      </w:r>
      <w:r>
        <w:t>: EM bail orders are sometimes </w:t>
      </w:r>
      <w:r w:rsidRPr="000B47CF">
        <w:rPr>
          <w:rStyle w:val="Strong"/>
          <w:b w:val="0"/>
          <w:bCs w:val="0"/>
        </w:rPr>
        <w:t>issued without a prior suitability check</w:t>
      </w:r>
      <w:r>
        <w:t xml:space="preserve">, leading to issues such </w:t>
      </w:r>
      <w:r w:rsidRPr="003D4C77">
        <w:t>as</w:t>
      </w:r>
      <w:r w:rsidRPr="000B47CF">
        <w:rPr>
          <w:b/>
          <w:bCs/>
        </w:rPr>
        <w:t> </w:t>
      </w:r>
      <w:r w:rsidRPr="000B47CF">
        <w:rPr>
          <w:rStyle w:val="Strong"/>
          <w:b w:val="0"/>
        </w:rPr>
        <w:t>lack of electricity</w:t>
      </w:r>
      <w:r>
        <w:t> at the monitored address.</w:t>
      </w:r>
    </w:p>
    <w:p w14:paraId="491AF554" w14:textId="77777777" w:rsidR="000B47CF" w:rsidRDefault="000B47CF" w:rsidP="001223CA">
      <w:pPr>
        <w:numPr>
          <w:ilvl w:val="0"/>
          <w:numId w:val="40"/>
        </w:numPr>
        <w:spacing w:before="100" w:beforeAutospacing="1" w:after="100" w:afterAutospacing="1" w:line="240" w:lineRule="auto"/>
      </w:pPr>
      <w:r>
        <w:rPr>
          <w:rStyle w:val="Strong"/>
        </w:rPr>
        <w:t>Communication and Enforcement</w:t>
      </w:r>
      <w:r>
        <w:t>: Inconsistent communication of bail requirements can create challenges for </w:t>
      </w:r>
      <w:r w:rsidRPr="000B47CF">
        <w:rPr>
          <w:rStyle w:val="Strong"/>
          <w:b w:val="0"/>
          <w:bCs w:val="0"/>
        </w:rPr>
        <w:t>policing and enforcement</w:t>
      </w:r>
      <w:r>
        <w:t> of EM conditions.</w:t>
      </w:r>
    </w:p>
    <w:p w14:paraId="2A427314" w14:textId="77777777" w:rsidR="000B47CF" w:rsidRDefault="000B47CF" w:rsidP="001223CA">
      <w:pPr>
        <w:numPr>
          <w:ilvl w:val="0"/>
          <w:numId w:val="40"/>
        </w:numPr>
        <w:spacing w:before="100" w:beforeAutospacing="1" w:after="100" w:afterAutospacing="1" w:line="240" w:lineRule="auto"/>
      </w:pPr>
      <w:r>
        <w:rPr>
          <w:rStyle w:val="Strong"/>
        </w:rPr>
        <w:t>High-Risk Cases</w:t>
      </w:r>
      <w:r>
        <w:t>: EM use in </w:t>
      </w:r>
      <w:r w:rsidRPr="000B47CF">
        <w:rPr>
          <w:rStyle w:val="Strong"/>
          <w:b w:val="0"/>
          <w:bCs w:val="0"/>
        </w:rPr>
        <w:t>domestic abuse and high-risk cases</w:t>
      </w:r>
      <w:r>
        <w:t> requires </w:t>
      </w:r>
      <w:r w:rsidRPr="000B47CF">
        <w:rPr>
          <w:rStyle w:val="Strong"/>
          <w:b w:val="0"/>
          <w:bCs w:val="0"/>
        </w:rPr>
        <w:t>multi-agency planning</w:t>
      </w:r>
      <w:r>
        <w:t> and dedicated resources to ensure safe and effective implementation.</w:t>
      </w:r>
    </w:p>
    <w:p w14:paraId="52459EC1" w14:textId="77777777" w:rsidR="000B47CF" w:rsidRDefault="000B47CF" w:rsidP="001223CA">
      <w:pPr>
        <w:numPr>
          <w:ilvl w:val="0"/>
          <w:numId w:val="40"/>
        </w:numPr>
        <w:spacing w:before="100" w:beforeAutospacing="1" w:after="100" w:afterAutospacing="1" w:line="240" w:lineRule="auto"/>
      </w:pPr>
      <w:r>
        <w:rPr>
          <w:rStyle w:val="Strong"/>
        </w:rPr>
        <w:t>Data Gaps</w:t>
      </w:r>
      <w:r>
        <w:t>: Current data collection and sharing processes make it difficult to </w:t>
      </w:r>
      <w:r w:rsidRPr="000B47CF">
        <w:rPr>
          <w:rStyle w:val="Strong"/>
          <w:b w:val="0"/>
          <w:bCs w:val="0"/>
        </w:rPr>
        <w:t>evaluate EM effectiveness</w:t>
      </w:r>
      <w:r>
        <w:t> and identify areas for improvement.</w:t>
      </w:r>
    </w:p>
    <w:p w14:paraId="0FE4BF0B" w14:textId="38E857AE" w:rsidR="000B47CF" w:rsidRDefault="000B47CF" w:rsidP="001223CA">
      <w:pPr>
        <w:numPr>
          <w:ilvl w:val="0"/>
          <w:numId w:val="40"/>
        </w:numPr>
        <w:spacing w:before="100" w:beforeAutospacing="1" w:after="100" w:afterAutospacing="1" w:line="240" w:lineRule="auto"/>
      </w:pPr>
      <w:r>
        <w:rPr>
          <w:rStyle w:val="Strong"/>
        </w:rPr>
        <w:t>Training and Awareness</w:t>
      </w:r>
      <w:r>
        <w:t>: There is a need for </w:t>
      </w:r>
      <w:r w:rsidRPr="000B47CF">
        <w:rPr>
          <w:rStyle w:val="Strong"/>
          <w:b w:val="0"/>
          <w:bCs w:val="0"/>
        </w:rPr>
        <w:t>additional training, guidance, and awareness-raising</w:t>
      </w:r>
      <w:r w:rsidRPr="000B47CF">
        <w:rPr>
          <w:b/>
        </w:rPr>
        <w:t> </w:t>
      </w:r>
      <w:r>
        <w:t>among stakeholders to improve </w:t>
      </w:r>
      <w:r w:rsidRPr="000B47CF">
        <w:rPr>
          <w:rStyle w:val="Strong"/>
          <w:b w:val="0"/>
          <w:bCs w:val="0"/>
        </w:rPr>
        <w:t>understanding and uptake of EM</w:t>
      </w:r>
      <w:r>
        <w:t xml:space="preserve">. This includes considering </w:t>
      </w:r>
      <w:r w:rsidRPr="00161C9C">
        <w:t>the</w:t>
      </w:r>
      <w:r w:rsidRPr="00161C9C">
        <w:rPr>
          <w:b/>
          <w:bCs/>
        </w:rPr>
        <w:t> </w:t>
      </w:r>
      <w:r w:rsidRPr="00161C9C">
        <w:rPr>
          <w:rStyle w:val="Strong"/>
          <w:b w:val="0"/>
          <w:bCs w:val="0"/>
        </w:rPr>
        <w:t>impact on family members</w:t>
      </w:r>
      <w:r>
        <w:t> living with individuals under monitoring conditions.</w:t>
      </w:r>
    </w:p>
    <w:p w14:paraId="5581D07A" w14:textId="77777777" w:rsidR="000B47CF" w:rsidRDefault="000B47CF" w:rsidP="000B47CF">
      <w:pPr>
        <w:pStyle w:val="Heading3"/>
      </w:pPr>
      <w:r>
        <w:t>Future Developments</w:t>
      </w:r>
    </w:p>
    <w:p w14:paraId="6615B1C4" w14:textId="5F660CAD" w:rsidR="00C75046" w:rsidRPr="00623EE6" w:rsidRDefault="000B47CF" w:rsidP="00931190">
      <w:pPr>
        <w:spacing w:before="100" w:beforeAutospacing="1" w:after="100" w:afterAutospacing="1"/>
        <w:rPr>
          <w:color w:val="auto"/>
        </w:rPr>
      </w:pPr>
      <w:r w:rsidRPr="00161C9C">
        <w:t>Many local areas have </w:t>
      </w:r>
      <w:r w:rsidRPr="00161C9C">
        <w:rPr>
          <w:rStyle w:val="Strong"/>
          <w:b w:val="0"/>
          <w:bCs w:val="0"/>
        </w:rPr>
        <w:t>expressed interest</w:t>
      </w:r>
      <w:r w:rsidRPr="00161C9C">
        <w:t> in </w:t>
      </w:r>
      <w:r w:rsidRPr="00161C9C">
        <w:rPr>
          <w:rStyle w:val="Strong"/>
        </w:rPr>
        <w:t>expanding their use of EM technology</w:t>
      </w:r>
      <w:r w:rsidRPr="00161C9C">
        <w:t>. Addressing the </w:t>
      </w:r>
      <w:r w:rsidRPr="00161C9C">
        <w:rPr>
          <w:rStyle w:val="Strong"/>
        </w:rPr>
        <w:t xml:space="preserve">identified barriers </w:t>
      </w:r>
      <w:r w:rsidRPr="00161C9C">
        <w:t>and ensuring </w:t>
      </w:r>
      <w:r w:rsidRPr="00161C9C">
        <w:rPr>
          <w:rStyle w:val="Strong"/>
        </w:rPr>
        <w:t>consistent resourcing and support</w:t>
      </w:r>
      <w:r w:rsidRPr="00161C9C">
        <w:t> will be essential to </w:t>
      </w:r>
      <w:r w:rsidRPr="00161C9C">
        <w:rPr>
          <w:rStyle w:val="Strong"/>
          <w:b w:val="0"/>
          <w:bCs w:val="0"/>
        </w:rPr>
        <w:t>maximi</w:t>
      </w:r>
      <w:r>
        <w:rPr>
          <w:rStyle w:val="Strong"/>
          <w:b w:val="0"/>
          <w:bCs w:val="0"/>
        </w:rPr>
        <w:t>s</w:t>
      </w:r>
      <w:r w:rsidRPr="00161C9C">
        <w:rPr>
          <w:rStyle w:val="Strong"/>
          <w:b w:val="0"/>
          <w:bCs w:val="0"/>
        </w:rPr>
        <w:t>ing EM’s potential</w:t>
      </w:r>
      <w:r w:rsidRPr="00161C9C">
        <w:t> as an effective alternative to custody</w:t>
      </w:r>
      <w:r w:rsidR="00931190">
        <w:t>.</w:t>
      </w:r>
      <w:r w:rsidR="003F5201" w:rsidRPr="00623EE6">
        <w:rPr>
          <w:color w:val="auto"/>
        </w:rPr>
        <w:br w:type="page"/>
      </w:r>
    </w:p>
    <w:p w14:paraId="72DC356A" w14:textId="7A6A5E4C" w:rsidR="00FE65E0" w:rsidRPr="00623EE6" w:rsidRDefault="00FE65E0" w:rsidP="00A91190">
      <w:pPr>
        <w:pStyle w:val="Heading2"/>
        <w:rPr>
          <w:lang w:val="en-GB"/>
        </w:rPr>
      </w:pPr>
      <w:bookmarkStart w:id="17" w:name="_Toc193901791"/>
      <w:r w:rsidRPr="00623EE6">
        <w:rPr>
          <w:lang w:val="en-GB"/>
        </w:rPr>
        <w:lastRenderedPageBreak/>
        <w:t>Priority Action 5: Ensure that those given community sentences are supervised and supported appropriately to protect the public, promote desistance from offending and enable rehabilitation by delivering high</w:t>
      </w:r>
      <w:r w:rsidR="0014477F" w:rsidRPr="00623EE6">
        <w:rPr>
          <w:lang w:val="en-GB"/>
        </w:rPr>
        <w:t>-</w:t>
      </w:r>
      <w:r w:rsidRPr="00623EE6">
        <w:rPr>
          <w:lang w:val="en-GB"/>
        </w:rPr>
        <w:t>quality, consistently available, trauma-informed services and program</w:t>
      </w:r>
      <w:r w:rsidR="00CA2194" w:rsidRPr="00623EE6">
        <w:rPr>
          <w:lang w:val="en-GB"/>
        </w:rPr>
        <w:t>mes</w:t>
      </w:r>
      <w:bookmarkEnd w:id="17"/>
    </w:p>
    <w:p w14:paraId="25259F50" w14:textId="77777777" w:rsidR="00FD4762" w:rsidRPr="00623EE6" w:rsidRDefault="00FD4762" w:rsidP="00FD4762">
      <w:pPr>
        <w:pStyle w:val="Heading3"/>
      </w:pPr>
      <w:r w:rsidRPr="00623EE6">
        <w:t>Performance</w:t>
      </w:r>
    </w:p>
    <w:p w14:paraId="53CD428A" w14:textId="0B4A33DF" w:rsidR="003F3086" w:rsidRPr="00623EE6" w:rsidRDefault="0018458B" w:rsidP="00436736">
      <w:pPr>
        <w:rPr>
          <w:color w:val="auto"/>
        </w:rPr>
      </w:pPr>
      <w:r w:rsidRPr="00623EE6">
        <w:rPr>
          <w:b/>
          <w:bCs/>
          <w:color w:val="auto"/>
        </w:rPr>
        <w:t xml:space="preserve">National </w:t>
      </w:r>
      <w:r w:rsidR="000019BD" w:rsidRPr="00623EE6">
        <w:rPr>
          <w:b/>
          <w:bCs/>
          <w:color w:val="auto"/>
        </w:rPr>
        <w:t>o</w:t>
      </w:r>
      <w:r w:rsidRPr="00623EE6">
        <w:rPr>
          <w:b/>
          <w:bCs/>
          <w:color w:val="auto"/>
        </w:rPr>
        <w:t>utcome:</w:t>
      </w:r>
      <w:r w:rsidRPr="00623EE6">
        <w:rPr>
          <w:color w:val="auto"/>
        </w:rPr>
        <w:t xml:space="preserve"> </w:t>
      </w:r>
    </w:p>
    <w:p w14:paraId="39B1B5C0" w14:textId="7478971C" w:rsidR="0018458B" w:rsidRPr="00623EE6" w:rsidRDefault="0018458B" w:rsidP="00436736">
      <w:pPr>
        <w:rPr>
          <w:color w:val="auto"/>
        </w:rPr>
      </w:pPr>
      <w:r w:rsidRPr="00623EE6">
        <w:rPr>
          <w:color w:val="auto"/>
        </w:rPr>
        <w:t>More people access services to support desistance and successfully complete community sentences</w:t>
      </w:r>
    </w:p>
    <w:p w14:paraId="1B600B36" w14:textId="138BEBC5" w:rsidR="00C81FA2" w:rsidRPr="00623EE6" w:rsidRDefault="003F3086" w:rsidP="00436736">
      <w:pPr>
        <w:rPr>
          <w:color w:val="auto"/>
        </w:rPr>
      </w:pPr>
      <w:r w:rsidRPr="00623EE6">
        <w:rPr>
          <w:b/>
          <w:bCs/>
          <w:color w:val="auto"/>
        </w:rPr>
        <w:t>N</w:t>
      </w:r>
      <w:r w:rsidR="00C81FA2" w:rsidRPr="00623EE6">
        <w:rPr>
          <w:b/>
          <w:bCs/>
          <w:color w:val="auto"/>
        </w:rPr>
        <w:t xml:space="preserve">ational </w:t>
      </w:r>
      <w:r w:rsidR="000019BD" w:rsidRPr="00623EE6">
        <w:rPr>
          <w:b/>
          <w:bCs/>
          <w:color w:val="auto"/>
        </w:rPr>
        <w:t>i</w:t>
      </w:r>
      <w:r w:rsidR="00C81FA2" w:rsidRPr="00623EE6">
        <w:rPr>
          <w:b/>
          <w:bCs/>
          <w:color w:val="auto"/>
        </w:rPr>
        <w:t>ndicators:</w:t>
      </w:r>
      <w:r w:rsidR="00C81FA2" w:rsidRPr="00623EE6">
        <w:rPr>
          <w:color w:val="auto"/>
        </w:rPr>
        <w:t xml:space="preserve"> </w:t>
      </w:r>
    </w:p>
    <w:p w14:paraId="265B68F5" w14:textId="6368C6C7" w:rsidR="00C81FA2" w:rsidRPr="00623EE6" w:rsidRDefault="00EA042E" w:rsidP="001223CA">
      <w:pPr>
        <w:pStyle w:val="ListParagraph"/>
        <w:numPr>
          <w:ilvl w:val="1"/>
          <w:numId w:val="12"/>
        </w:numPr>
        <w:rPr>
          <w:color w:val="auto"/>
        </w:rPr>
      </w:pPr>
      <w:r>
        <w:rPr>
          <w:color w:val="auto"/>
        </w:rPr>
        <w:t>P</w:t>
      </w:r>
      <w:r w:rsidR="002624F3" w:rsidRPr="00623EE6">
        <w:rPr>
          <w:color w:val="auto"/>
        </w:rPr>
        <w:t xml:space="preserve">ercentage of </w:t>
      </w:r>
      <w:r w:rsidR="006F51D5" w:rsidRPr="00623EE6">
        <w:rPr>
          <w:color w:val="auto"/>
        </w:rPr>
        <w:t>CPOs</w:t>
      </w:r>
      <w:r w:rsidR="00C81FA2" w:rsidRPr="00623EE6">
        <w:rPr>
          <w:color w:val="auto"/>
        </w:rPr>
        <w:t xml:space="preserve"> successfully completed </w:t>
      </w:r>
    </w:p>
    <w:p w14:paraId="73A3A044" w14:textId="73CA96A5" w:rsidR="0018458B" w:rsidRPr="00623EE6" w:rsidRDefault="00EA042E" w:rsidP="001223CA">
      <w:pPr>
        <w:pStyle w:val="ListParagraph"/>
        <w:numPr>
          <w:ilvl w:val="1"/>
          <w:numId w:val="12"/>
        </w:numPr>
        <w:rPr>
          <w:color w:val="auto"/>
        </w:rPr>
      </w:pPr>
      <w:r>
        <w:rPr>
          <w:color w:val="auto"/>
        </w:rPr>
        <w:t>P</w:t>
      </w:r>
      <w:r w:rsidR="002624F3" w:rsidRPr="00623EE6">
        <w:rPr>
          <w:color w:val="auto"/>
        </w:rPr>
        <w:t xml:space="preserve">ercentage of </w:t>
      </w:r>
      <w:r w:rsidR="004D491F" w:rsidRPr="00623EE6">
        <w:rPr>
          <w:color w:val="auto"/>
        </w:rPr>
        <w:t>DTTOs</w:t>
      </w:r>
      <w:r w:rsidR="000019BD" w:rsidRPr="00623EE6">
        <w:rPr>
          <w:color w:val="auto"/>
        </w:rPr>
        <w:t xml:space="preserve"> </w:t>
      </w:r>
      <w:r w:rsidR="00C81FA2" w:rsidRPr="00623EE6">
        <w:rPr>
          <w:color w:val="auto"/>
        </w:rPr>
        <w:t>successfully completed</w:t>
      </w:r>
    </w:p>
    <w:p w14:paraId="0E9B82EA" w14:textId="0D5316B1" w:rsidR="00436736" w:rsidRPr="00623EE6" w:rsidRDefault="0018458B" w:rsidP="00436736">
      <w:pPr>
        <w:rPr>
          <w:color w:val="auto"/>
        </w:rPr>
      </w:pPr>
      <w:r w:rsidRPr="00623EE6">
        <w:rPr>
          <w:color w:val="auto"/>
        </w:rPr>
        <w:t xml:space="preserve">The </w:t>
      </w:r>
      <w:r w:rsidR="000019BD" w:rsidRPr="00623EE6">
        <w:rPr>
          <w:color w:val="auto"/>
        </w:rPr>
        <w:t>figures</w:t>
      </w:r>
      <w:r w:rsidRPr="00623EE6">
        <w:rPr>
          <w:color w:val="auto"/>
        </w:rPr>
        <w:t xml:space="preserve"> below set out the indicator data.</w:t>
      </w:r>
    </w:p>
    <w:p w14:paraId="153422DB" w14:textId="06F6DEB7" w:rsidR="00FE65E0" w:rsidRPr="00623EE6" w:rsidRDefault="00A007F2" w:rsidP="006A0AA9">
      <w:pPr>
        <w:jc w:val="center"/>
        <w:rPr>
          <w:color w:val="auto"/>
        </w:rPr>
      </w:pPr>
      <w:r w:rsidRPr="00623EE6">
        <w:rPr>
          <w:noProof/>
        </w:rPr>
        <w:drawing>
          <wp:inline distT="0" distB="0" distL="0" distR="0" wp14:anchorId="6609A2C3" wp14:editId="44ECD905">
            <wp:extent cx="4572000" cy="2717800"/>
            <wp:effectExtent l="0" t="0" r="0" b="6350"/>
            <wp:docPr id="144480745" name="Chart 1" descr="Line graph showing successful Community Payback Order completion rate as a pecrcentage of all CPOs over time, between 2017 and 2024.  In 2017-18, 69%; 2018-19 was 68%; 2019-20 69%; 2020-21 75%; 2021-22 73%; 2022-23 73%; 2023-24 71%.">
              <a:extLst xmlns:a="http://schemas.openxmlformats.org/drawingml/2006/main">
                <a:ext uri="{FF2B5EF4-FFF2-40B4-BE49-F238E27FC236}">
                  <a16:creationId xmlns:a16="http://schemas.microsoft.com/office/drawing/2014/main" id="{AB7CACB6-081F-9B89-05A6-0A2847184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F58C99" w14:textId="77777777" w:rsidR="00436736" w:rsidRPr="00623EE6" w:rsidRDefault="00436736" w:rsidP="00FE65E0">
      <w:pPr>
        <w:rPr>
          <w:color w:val="auto"/>
        </w:rPr>
      </w:pPr>
    </w:p>
    <w:p w14:paraId="1437BEA2" w14:textId="77777777" w:rsidR="00436736" w:rsidRPr="00623EE6" w:rsidRDefault="00436736" w:rsidP="00FE65E0">
      <w:pPr>
        <w:rPr>
          <w:color w:val="auto"/>
        </w:rPr>
      </w:pPr>
    </w:p>
    <w:p w14:paraId="410141E8" w14:textId="77777777" w:rsidR="00436736" w:rsidRPr="00623EE6" w:rsidRDefault="00436736" w:rsidP="00FE65E0">
      <w:pPr>
        <w:rPr>
          <w:color w:val="auto"/>
        </w:rPr>
      </w:pPr>
    </w:p>
    <w:p w14:paraId="03E49943" w14:textId="77777777" w:rsidR="00436736" w:rsidRPr="00623EE6" w:rsidRDefault="00436736" w:rsidP="00FE65E0">
      <w:pPr>
        <w:rPr>
          <w:color w:val="auto"/>
        </w:rPr>
      </w:pPr>
    </w:p>
    <w:p w14:paraId="4F944F13" w14:textId="77777777" w:rsidR="00436736" w:rsidRPr="00623EE6" w:rsidRDefault="00436736" w:rsidP="00FE65E0">
      <w:pPr>
        <w:rPr>
          <w:color w:val="auto"/>
        </w:rPr>
      </w:pPr>
    </w:p>
    <w:p w14:paraId="32BCD147" w14:textId="4D4292D0" w:rsidR="00436736" w:rsidRPr="00623EE6" w:rsidRDefault="00F872C7" w:rsidP="006A0AA9">
      <w:pPr>
        <w:jc w:val="center"/>
        <w:rPr>
          <w:color w:val="auto"/>
        </w:rPr>
      </w:pPr>
      <w:r w:rsidRPr="00623EE6">
        <w:rPr>
          <w:noProof/>
        </w:rPr>
        <w:lastRenderedPageBreak/>
        <w:drawing>
          <wp:inline distT="0" distB="0" distL="0" distR="0" wp14:anchorId="02D9B8A0" wp14:editId="578D16F5">
            <wp:extent cx="4572000" cy="2717800"/>
            <wp:effectExtent l="0" t="0" r="0" b="6350"/>
            <wp:docPr id="982643042" name="Chart 1" descr="Line graph showing the successful completion rate of Drug Treatment and Testing Orders over time, shown as a percentage of the total DTTOs issued each year between 2017 and 2024. In 2017-18, 39%; 2018-19 37%; 2019-20 39%; 2020-21 66%; 2021-22 49%; 2022-23 48%; 2023-24 51%.">
              <a:extLst xmlns:a="http://schemas.openxmlformats.org/drawingml/2006/main">
                <a:ext uri="{FF2B5EF4-FFF2-40B4-BE49-F238E27FC236}">
                  <a16:creationId xmlns:a16="http://schemas.microsoft.com/office/drawing/2014/main" id="{D31605CF-B011-F117-127E-3D597FA01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C5AD60" w14:textId="77777777" w:rsidR="00FC2C1D" w:rsidRDefault="00FC2C1D" w:rsidP="00FC2C1D">
      <w:pPr>
        <w:rPr>
          <w:color w:val="auto"/>
        </w:rPr>
      </w:pPr>
      <w:r w:rsidRPr="00623EE6">
        <w:rPr>
          <w:color w:val="auto"/>
        </w:rPr>
        <w:t xml:space="preserve">‘The successful completion rate for CPOs finished in 2023-24 was 71%. This was </w:t>
      </w:r>
      <w:r w:rsidRPr="00C23791">
        <w:rPr>
          <w:b/>
          <w:bCs/>
          <w:color w:val="auto"/>
        </w:rPr>
        <w:t>lower than the three previous years</w:t>
      </w:r>
      <w:r w:rsidRPr="00623EE6">
        <w:rPr>
          <w:color w:val="auto"/>
        </w:rPr>
        <w:t xml:space="preserve">, returning to levels similar to the pre-pandemic years. </w:t>
      </w:r>
    </w:p>
    <w:p w14:paraId="25991EEF" w14:textId="77777777" w:rsidR="00FC2C1D" w:rsidRDefault="00FC2C1D" w:rsidP="00FC2C1D">
      <w:pPr>
        <w:rPr>
          <w:color w:val="auto"/>
        </w:rPr>
      </w:pPr>
      <w:r w:rsidRPr="00623EE6">
        <w:rPr>
          <w:color w:val="auto"/>
        </w:rPr>
        <w:t>The completion rate is calculated by</w:t>
      </w:r>
      <w:r>
        <w:rPr>
          <w:color w:val="auto"/>
        </w:rPr>
        <w:t>;</w:t>
      </w:r>
    </w:p>
    <w:p w14:paraId="7E446F3E" w14:textId="77777777" w:rsidR="00FC2C1D" w:rsidRDefault="00FC2C1D" w:rsidP="001223CA">
      <w:pPr>
        <w:numPr>
          <w:ilvl w:val="0"/>
          <w:numId w:val="41"/>
        </w:numPr>
        <w:spacing w:before="100" w:beforeAutospacing="1" w:after="100" w:afterAutospacing="1" w:line="240" w:lineRule="auto"/>
      </w:pPr>
      <w:r>
        <w:rPr>
          <w:rStyle w:val="Strong"/>
        </w:rPr>
        <w:t>Adding together</w:t>
      </w:r>
      <w:r>
        <w:t> the number of successfully completed orders and early discharges.</w:t>
      </w:r>
    </w:p>
    <w:p w14:paraId="226C951C" w14:textId="77777777" w:rsidR="00FC2C1D" w:rsidRPr="00C23791" w:rsidRDefault="00FC2C1D" w:rsidP="001223CA">
      <w:pPr>
        <w:numPr>
          <w:ilvl w:val="0"/>
          <w:numId w:val="41"/>
        </w:numPr>
        <w:spacing w:before="100" w:beforeAutospacing="1" w:after="100" w:afterAutospacing="1" w:line="240" w:lineRule="auto"/>
      </w:pPr>
      <w:r>
        <w:rPr>
          <w:rStyle w:val="Strong"/>
        </w:rPr>
        <w:t>Dividing this by</w:t>
      </w:r>
      <w:r>
        <w:t> the total number of finished orders, excluding those transferred to another local authority.</w:t>
      </w:r>
    </w:p>
    <w:p w14:paraId="3AA1291E" w14:textId="3999E9DD" w:rsidR="00FC2C1D" w:rsidRPr="00736EBC" w:rsidRDefault="00FC2C1D" w:rsidP="00FC2C1D">
      <w:pPr>
        <w:rPr>
          <w:color w:val="auto"/>
        </w:rPr>
      </w:pPr>
      <w:r>
        <w:t>For </w:t>
      </w:r>
      <w:r>
        <w:rPr>
          <w:rStyle w:val="Strong"/>
        </w:rPr>
        <w:t>Drug Treatment and Testing Orders (DTTOs)</w:t>
      </w:r>
      <w:r>
        <w:t>, the completion rate was </w:t>
      </w:r>
      <w:r>
        <w:rPr>
          <w:rStyle w:val="Strong"/>
        </w:rPr>
        <w:t>51% in 2023-24</w:t>
      </w:r>
      <w:r>
        <w:t>, the </w:t>
      </w:r>
      <w:r>
        <w:rPr>
          <w:rStyle w:val="Strong"/>
        </w:rPr>
        <w:t>third highest in the past 10 years</w:t>
      </w:r>
      <w:r>
        <w:t>. However, caution is needed when interpreting completion trends over time, particularly due to fluctuations during the pandemic years.</w:t>
      </w:r>
      <w:r w:rsidRPr="00736EBC" w:rsidDel="00830784">
        <w:rPr>
          <w:color w:val="auto"/>
        </w:rPr>
        <w:t xml:space="preserve"> </w:t>
      </w:r>
      <w:r w:rsidRPr="00623EE6">
        <w:rPr>
          <w:rStyle w:val="FootnoteReference"/>
          <w:color w:val="auto"/>
        </w:rPr>
        <w:footnoteReference w:id="36"/>
      </w:r>
      <w:r w:rsidRPr="00623EE6">
        <w:rPr>
          <w:color w:val="auto"/>
        </w:rPr>
        <w:t xml:space="preserve"> </w:t>
      </w:r>
    </w:p>
    <w:p w14:paraId="53B3247C" w14:textId="77777777" w:rsidR="00FC2C1D" w:rsidRPr="00623EE6" w:rsidRDefault="00FC2C1D" w:rsidP="00FC2C1D">
      <w:pPr>
        <w:rPr>
          <w:color w:val="auto"/>
        </w:rPr>
      </w:pPr>
      <w:r w:rsidRPr="00623EE6">
        <w:rPr>
          <w:color w:val="auto"/>
        </w:rPr>
        <w:t>The baseline year for these indicators is 2017-18 when the Community Justice (Scotland) Act 2016 was implemented.</w:t>
      </w:r>
    </w:p>
    <w:p w14:paraId="1A8B98EB" w14:textId="30F192F1" w:rsidR="00FC2C1D" w:rsidRDefault="00FC2C1D" w:rsidP="00FC2C1D">
      <w:pPr>
        <w:spacing w:before="100" w:beforeAutospacing="1" w:after="100" w:afterAutospacing="1"/>
      </w:pPr>
      <w:r>
        <w:t>A more nuanced assessment is required to understand the </w:t>
      </w:r>
      <w:r>
        <w:rPr>
          <w:rStyle w:val="Strong"/>
        </w:rPr>
        <w:t>quality and performance of community orders</w:t>
      </w:r>
      <w:r>
        <w:t>. Several factors affect an individual’s ability to complete an order, including:</w:t>
      </w:r>
    </w:p>
    <w:p w14:paraId="78762A1D" w14:textId="77777777" w:rsidR="00FC2C1D" w:rsidRDefault="00FC2C1D" w:rsidP="001223CA">
      <w:pPr>
        <w:numPr>
          <w:ilvl w:val="0"/>
          <w:numId w:val="42"/>
        </w:numPr>
        <w:spacing w:before="100" w:beforeAutospacing="1" w:after="100" w:afterAutospacing="1" w:line="240" w:lineRule="auto"/>
      </w:pPr>
      <w:r>
        <w:rPr>
          <w:rStyle w:val="Strong"/>
        </w:rPr>
        <w:t>Age and offending profile</w:t>
      </w:r>
    </w:p>
    <w:p w14:paraId="683A83F5" w14:textId="77777777" w:rsidR="00FC2C1D" w:rsidRDefault="00FC2C1D" w:rsidP="001223CA">
      <w:pPr>
        <w:numPr>
          <w:ilvl w:val="0"/>
          <w:numId w:val="42"/>
        </w:numPr>
        <w:spacing w:before="100" w:beforeAutospacing="1" w:after="100" w:afterAutospacing="1" w:line="240" w:lineRule="auto"/>
      </w:pPr>
      <w:r>
        <w:rPr>
          <w:rStyle w:val="Strong"/>
        </w:rPr>
        <w:t>Complexity of needs</w:t>
      </w:r>
      <w:r>
        <w:t>, such as:</w:t>
      </w:r>
    </w:p>
    <w:p w14:paraId="27E53DB9" w14:textId="77777777" w:rsidR="00FC2C1D" w:rsidRDefault="00FC2C1D" w:rsidP="001223CA">
      <w:pPr>
        <w:numPr>
          <w:ilvl w:val="1"/>
          <w:numId w:val="42"/>
        </w:numPr>
        <w:spacing w:before="100" w:beforeAutospacing="1" w:after="100" w:afterAutospacing="1" w:line="240" w:lineRule="auto"/>
      </w:pPr>
      <w:r>
        <w:t>Chronic health conditions</w:t>
      </w:r>
    </w:p>
    <w:p w14:paraId="207DB561" w14:textId="77777777" w:rsidR="00FC2C1D" w:rsidRDefault="00FC2C1D" w:rsidP="001223CA">
      <w:pPr>
        <w:numPr>
          <w:ilvl w:val="1"/>
          <w:numId w:val="42"/>
        </w:numPr>
        <w:spacing w:before="100" w:beforeAutospacing="1" w:after="100" w:afterAutospacing="1" w:line="240" w:lineRule="auto"/>
      </w:pPr>
      <w:r>
        <w:t>Learning disabilities, autism, and neurodiversity</w:t>
      </w:r>
    </w:p>
    <w:p w14:paraId="11A4158B" w14:textId="77777777" w:rsidR="00FC2C1D" w:rsidRDefault="00FC2C1D" w:rsidP="001223CA">
      <w:pPr>
        <w:numPr>
          <w:ilvl w:val="1"/>
          <w:numId w:val="42"/>
        </w:numPr>
        <w:spacing w:before="100" w:beforeAutospacing="1" w:after="100" w:afterAutospacing="1" w:line="240" w:lineRule="auto"/>
      </w:pPr>
      <w:r>
        <w:lastRenderedPageBreak/>
        <w:t>Unresolved trauma and social anxiety</w:t>
      </w:r>
    </w:p>
    <w:p w14:paraId="5EDB3E06" w14:textId="77777777" w:rsidR="00FC2C1D" w:rsidRDefault="00FC2C1D" w:rsidP="00FC2C1D">
      <w:pPr>
        <w:spacing w:before="100" w:beforeAutospacing="1" w:after="100" w:afterAutospacing="1"/>
      </w:pPr>
      <w:r>
        <w:t>Community orders are often the </w:t>
      </w:r>
      <w:r w:rsidRPr="00C23791">
        <w:rPr>
          <w:rStyle w:val="Strong"/>
          <w:b w:val="0"/>
          <w:bCs w:val="0"/>
        </w:rPr>
        <w:t>preferred sentencing option</w:t>
      </w:r>
      <w:r>
        <w:t> for individuals with complex needs, as they provide </w:t>
      </w:r>
      <w:r>
        <w:rPr>
          <w:rStyle w:val="Strong"/>
        </w:rPr>
        <w:t>structured support and reduce additional criminogenic risks</w:t>
      </w:r>
      <w:r>
        <w:t> linked to short-term imprisonment. However, as the profile of individuals receiving community orders shifts, </w:t>
      </w:r>
      <w:r>
        <w:rPr>
          <w:rStyle w:val="Strong"/>
        </w:rPr>
        <w:t>more participants may struggle to comply with requirements</w:t>
      </w:r>
      <w:r>
        <w:t>, impacting completion rates.</w:t>
      </w:r>
    </w:p>
    <w:p w14:paraId="1BE765CA" w14:textId="60EDDBB2" w:rsidR="00FC2C1D" w:rsidRPr="00623EE6" w:rsidRDefault="00FC2C1D" w:rsidP="00FC2C1D">
      <w:pPr>
        <w:rPr>
          <w:lang w:eastAsia="en-GB"/>
        </w:rPr>
      </w:pPr>
      <w:r w:rsidRPr="00623EE6">
        <w:rPr>
          <w:color w:val="auto"/>
          <w:lang w:eastAsia="en-GB"/>
        </w:rPr>
        <w:t xml:space="preserve">For more information about the indicator see </w:t>
      </w:r>
      <w:hyperlink r:id="rId39" w:history="1">
        <w:r w:rsidRPr="00623EE6">
          <w:rPr>
            <w:rStyle w:val="Hyperlink"/>
            <w:lang w:eastAsia="en-GB"/>
          </w:rPr>
          <w:t>Community Justice Performance Framework: guidance and technical notes, version 2</w:t>
        </w:r>
      </w:hyperlink>
      <w:r w:rsidRPr="00623EE6">
        <w:t>.</w:t>
      </w:r>
    </w:p>
    <w:p w14:paraId="1738C8A8" w14:textId="20121548" w:rsidR="00FC2C1D" w:rsidRPr="00623EE6" w:rsidRDefault="00FC2C1D" w:rsidP="00C23791">
      <w:pPr>
        <w:pStyle w:val="Heading3"/>
      </w:pPr>
      <w:r>
        <w:t>Wider evidence</w:t>
      </w:r>
    </w:p>
    <w:p w14:paraId="78769970" w14:textId="77777777" w:rsidR="00FC2C1D" w:rsidRPr="00C23791" w:rsidRDefault="00FC2C1D" w:rsidP="00FC2C1D">
      <w:pPr>
        <w:pStyle w:val="Heading4"/>
        <w:rPr>
          <w:rFonts w:eastAsia="Times New Roman"/>
          <w:bCs/>
          <w:i w:val="0"/>
          <w:iCs w:val="0"/>
          <w:sz w:val="28"/>
          <w:szCs w:val="28"/>
        </w:rPr>
      </w:pPr>
      <w:r w:rsidRPr="00C23791">
        <w:rPr>
          <w:rStyle w:val="Strong"/>
          <w:rFonts w:eastAsia="Times New Roman"/>
          <w:i w:val="0"/>
          <w:iCs w:val="0"/>
          <w:sz w:val="28"/>
          <w:szCs w:val="28"/>
        </w:rPr>
        <w:t>Trauma-Informed Approaches</w:t>
      </w:r>
    </w:p>
    <w:p w14:paraId="78E957AB" w14:textId="77777777" w:rsidR="00FC2C1D" w:rsidRDefault="00FC2C1D" w:rsidP="00FC2C1D">
      <w:pPr>
        <w:spacing w:before="100" w:beforeAutospacing="1" w:after="100" w:afterAutospacing="1"/>
      </w:pPr>
      <w:r>
        <w:t>The </w:t>
      </w:r>
      <w:r>
        <w:rPr>
          <w:rStyle w:val="Strong"/>
        </w:rPr>
        <w:t>National Trauma Transformation Programme</w:t>
      </w:r>
      <w:r>
        <w:t> is a </w:t>
      </w:r>
      <w:r>
        <w:rPr>
          <w:rStyle w:val="Strong"/>
        </w:rPr>
        <w:t>long-term Scottish Government initiative</w:t>
      </w:r>
      <w:r>
        <w:t> involving NHS Education for Scotland (NES), COSLA, the Improvement Service, and the Resilience Learning Partnership. Its goal is to build a </w:t>
      </w:r>
      <w:r>
        <w:rPr>
          <w:rStyle w:val="Strong"/>
        </w:rPr>
        <w:t>trauma-informed and responsive workforce</w:t>
      </w:r>
      <w:r>
        <w:t> across Scotland.</w:t>
      </w:r>
    </w:p>
    <w:p w14:paraId="2AD5303C" w14:textId="77777777" w:rsidR="00FC2C1D" w:rsidRDefault="00FC2C1D" w:rsidP="00FC2C1D">
      <w:pPr>
        <w:spacing w:before="100" w:beforeAutospacing="1" w:after="100" w:afterAutospacing="1"/>
      </w:pPr>
      <w:r>
        <w:t>Key developments:</w:t>
      </w:r>
    </w:p>
    <w:p w14:paraId="4FA8440A" w14:textId="77777777" w:rsidR="00FC2C1D" w:rsidRDefault="00FC2C1D" w:rsidP="001223CA">
      <w:pPr>
        <w:numPr>
          <w:ilvl w:val="0"/>
          <w:numId w:val="43"/>
        </w:numPr>
        <w:spacing w:before="100" w:beforeAutospacing="1" w:after="100" w:afterAutospacing="1" w:line="240" w:lineRule="auto"/>
      </w:pPr>
      <w:r>
        <w:t>In </w:t>
      </w:r>
      <w:r>
        <w:rPr>
          <w:rStyle w:val="Strong"/>
        </w:rPr>
        <w:t>May 2023</w:t>
      </w:r>
      <w:r>
        <w:t>, NES published the </w:t>
      </w:r>
      <w:r>
        <w:rPr>
          <w:rStyle w:val="Strong"/>
        </w:rPr>
        <w:t>Knowledge and Skills Framework for Working with Victims and Witnesses</w:t>
      </w:r>
      <w:r>
        <w:t xml:space="preserve">, providing guidance </w:t>
      </w:r>
      <w:r w:rsidRPr="00BD3D23">
        <w:t>on </w:t>
      </w:r>
      <w:r w:rsidRPr="00C23791">
        <w:rPr>
          <w:rStyle w:val="Strong"/>
          <w:b w:val="0"/>
          <w:bCs w:val="0"/>
        </w:rPr>
        <w:t>minimi</w:t>
      </w:r>
      <w:r>
        <w:rPr>
          <w:rStyle w:val="Strong"/>
          <w:b w:val="0"/>
          <w:bCs w:val="0"/>
        </w:rPr>
        <w:t>s</w:t>
      </w:r>
      <w:r w:rsidRPr="00C23791">
        <w:rPr>
          <w:rStyle w:val="Strong"/>
          <w:b w:val="0"/>
          <w:bCs w:val="0"/>
        </w:rPr>
        <w:t>ing harm and re-traumatisation</w:t>
      </w:r>
      <w:r w:rsidRPr="00BD3D23">
        <w:t> while supporting recovery and effective evidence</w:t>
      </w:r>
      <w:r>
        <w:t xml:space="preserve"> gathering.</w:t>
      </w:r>
    </w:p>
    <w:p w14:paraId="05471019" w14:textId="77777777" w:rsidR="00FC2C1D" w:rsidRDefault="00FC2C1D" w:rsidP="00FC2C1D">
      <w:pPr>
        <w:spacing w:line="276" w:lineRule="auto"/>
        <w:rPr>
          <w:color w:val="auto"/>
        </w:rPr>
      </w:pPr>
      <w:r>
        <w:rPr>
          <w:color w:val="auto"/>
        </w:rPr>
        <w:t>Scottish Sentencing Council</w:t>
      </w:r>
    </w:p>
    <w:p w14:paraId="1241481B" w14:textId="77777777" w:rsidR="00FC2C1D" w:rsidRDefault="00FC2C1D" w:rsidP="00FC2C1D">
      <w:pPr>
        <w:spacing w:before="100" w:beforeAutospacing="1" w:after="100" w:afterAutospacing="1"/>
      </w:pPr>
      <w:r>
        <w:t>The </w:t>
      </w:r>
      <w:r>
        <w:rPr>
          <w:rStyle w:val="Strong"/>
        </w:rPr>
        <w:t>Scottish Sentencing Council</w:t>
      </w:r>
      <w:r>
        <w:t> has been developing policy around:</w:t>
      </w:r>
    </w:p>
    <w:p w14:paraId="6D77F00C" w14:textId="77777777" w:rsidR="00FC2C1D" w:rsidRDefault="00FC2C1D" w:rsidP="001223CA">
      <w:pPr>
        <w:numPr>
          <w:ilvl w:val="0"/>
          <w:numId w:val="44"/>
        </w:numPr>
        <w:spacing w:before="100" w:beforeAutospacing="1" w:after="100" w:afterAutospacing="1" w:line="240" w:lineRule="auto"/>
      </w:pPr>
      <w:r>
        <w:rPr>
          <w:rStyle w:val="Strong"/>
        </w:rPr>
        <w:t>Community sentencing</w:t>
      </w:r>
    </w:p>
    <w:p w14:paraId="2D40FE10" w14:textId="77777777" w:rsidR="00FC2C1D" w:rsidRDefault="00FC2C1D" w:rsidP="001223CA">
      <w:pPr>
        <w:numPr>
          <w:ilvl w:val="0"/>
          <w:numId w:val="44"/>
        </w:numPr>
        <w:spacing w:before="100" w:beforeAutospacing="1" w:after="100" w:afterAutospacing="1" w:line="240" w:lineRule="auto"/>
      </w:pPr>
      <w:r>
        <w:rPr>
          <w:rStyle w:val="Strong"/>
        </w:rPr>
        <w:t>Mental health considerations in sentencing</w:t>
      </w:r>
    </w:p>
    <w:p w14:paraId="315F6F79" w14:textId="77777777" w:rsidR="00FC2C1D" w:rsidRDefault="00FC2C1D" w:rsidP="00FC2C1D">
      <w:pPr>
        <w:spacing w:before="100" w:beforeAutospacing="1" w:after="100" w:afterAutospacing="1"/>
      </w:pPr>
      <w:r>
        <w:t>Challenges remain in </w:t>
      </w:r>
      <w:r>
        <w:rPr>
          <w:rStyle w:val="Strong"/>
        </w:rPr>
        <w:t>ensuring judicial and public confidence</w:t>
      </w:r>
      <w:r>
        <w:t> in community sentences, particularly regarding </w:t>
      </w:r>
      <w:r>
        <w:rPr>
          <w:rStyle w:val="Strong"/>
        </w:rPr>
        <w:t>adequate resourcing and support</w:t>
      </w:r>
      <w:r>
        <w:t> for individuals completing these orders.</w:t>
      </w:r>
    </w:p>
    <w:p w14:paraId="18AF585D" w14:textId="3D4C230F" w:rsidR="00FC2C1D" w:rsidRPr="00C23791" w:rsidRDefault="00FC2C1D" w:rsidP="00C23791">
      <w:pPr>
        <w:spacing w:before="100" w:beforeAutospacing="1" w:after="100" w:afterAutospacing="1" w:line="276" w:lineRule="auto"/>
      </w:pPr>
      <w:r>
        <w:t>The </w:t>
      </w:r>
      <w:r>
        <w:rPr>
          <w:rStyle w:val="Strong"/>
        </w:rPr>
        <w:t>Community Interventions and Support Directory</w:t>
      </w:r>
      <w:r>
        <w:t>, developed by CJS, and which inform Sheriffs and others what local services are available when a sentence is being considered. It has been welcomed as a resource for informing sentencers about </w:t>
      </w:r>
      <w:r>
        <w:rPr>
          <w:rStyle w:val="Strong"/>
        </w:rPr>
        <w:t>local support options</w:t>
      </w:r>
      <w:r>
        <w:t xml:space="preserve"> although some areas have reported difficulties in </w:t>
      </w:r>
      <w:r>
        <w:rPr>
          <w:rStyle w:val="Strong"/>
        </w:rPr>
        <w:t>service mapping and keeping the directory up to date</w:t>
      </w:r>
      <w:r>
        <w:t>.</w:t>
      </w:r>
    </w:p>
    <w:p w14:paraId="19DD93D8" w14:textId="77777777" w:rsidR="00FC2C1D" w:rsidRDefault="00FC2C1D" w:rsidP="00FC2C1D">
      <w:pPr>
        <w:rPr>
          <w:color w:val="auto"/>
        </w:rPr>
      </w:pPr>
    </w:p>
    <w:p w14:paraId="647D97D0" w14:textId="77777777" w:rsidR="00FC2C1D" w:rsidRPr="00C23791" w:rsidRDefault="00FC2C1D" w:rsidP="00FC2C1D">
      <w:pPr>
        <w:rPr>
          <w:b/>
          <w:bCs/>
          <w:color w:val="auto"/>
        </w:rPr>
      </w:pPr>
      <w:r w:rsidRPr="00C23791">
        <w:rPr>
          <w:b/>
          <w:bCs/>
          <w:color w:val="auto"/>
        </w:rPr>
        <w:t>Supporting Compliance</w:t>
      </w:r>
    </w:p>
    <w:p w14:paraId="4135F84E" w14:textId="77777777" w:rsidR="00FC2C1D" w:rsidRDefault="00FC2C1D" w:rsidP="00FC2C1D">
      <w:pPr>
        <w:spacing w:before="100" w:beforeAutospacing="1" w:after="100" w:afterAutospacing="1"/>
      </w:pPr>
      <w:r>
        <w:t>While </w:t>
      </w:r>
      <w:r>
        <w:rPr>
          <w:rStyle w:val="Strong"/>
        </w:rPr>
        <w:t>non-compliance with community orders must be addressed</w:t>
      </w:r>
      <w:r>
        <w:t>, local areas continue to explore ways to </w:t>
      </w:r>
      <w:r>
        <w:rPr>
          <w:rStyle w:val="Strong"/>
        </w:rPr>
        <w:t>enhance engagement and enable completion</w:t>
      </w:r>
      <w:r>
        <w:t>. Strategies include:</w:t>
      </w:r>
    </w:p>
    <w:p w14:paraId="4E8397D6" w14:textId="77777777" w:rsidR="00FC2C1D" w:rsidRDefault="00FC2C1D" w:rsidP="001223CA">
      <w:pPr>
        <w:numPr>
          <w:ilvl w:val="0"/>
          <w:numId w:val="45"/>
        </w:numPr>
        <w:spacing w:before="100" w:beforeAutospacing="1" w:after="100" w:afterAutospacing="1" w:line="240" w:lineRule="auto"/>
      </w:pPr>
      <w:r>
        <w:rPr>
          <w:rStyle w:val="Strong"/>
        </w:rPr>
        <w:t>Improving access to suitable work placements</w:t>
      </w:r>
      <w:r>
        <w:t> for individuals unable to participate in unpaid work squads.</w:t>
      </w:r>
    </w:p>
    <w:p w14:paraId="2964BBDE" w14:textId="77777777" w:rsidR="00FC2C1D" w:rsidRDefault="00FC2C1D" w:rsidP="001223CA">
      <w:pPr>
        <w:numPr>
          <w:ilvl w:val="0"/>
          <w:numId w:val="45"/>
        </w:numPr>
        <w:spacing w:before="100" w:beforeAutospacing="1" w:after="100" w:afterAutospacing="1" w:line="240" w:lineRule="auto"/>
      </w:pPr>
      <w:r>
        <w:rPr>
          <w:rStyle w:val="Strong"/>
        </w:rPr>
        <w:t>Training unpaid work supervisors</w:t>
      </w:r>
      <w:r>
        <w:t> in trauma-informed approaches.</w:t>
      </w:r>
    </w:p>
    <w:p w14:paraId="1888064C" w14:textId="77777777" w:rsidR="00FC2C1D" w:rsidRDefault="00FC2C1D" w:rsidP="001223CA">
      <w:pPr>
        <w:numPr>
          <w:ilvl w:val="0"/>
          <w:numId w:val="45"/>
        </w:numPr>
        <w:spacing w:before="100" w:beforeAutospacing="1" w:after="100" w:afterAutospacing="1" w:line="240" w:lineRule="auto"/>
      </w:pPr>
      <w:r>
        <w:rPr>
          <w:rStyle w:val="Strong"/>
        </w:rPr>
        <w:t>Using participant feedback</w:t>
      </w:r>
      <w:r>
        <w:t> to refine work activities and ensure they are meaningful.</w:t>
      </w:r>
    </w:p>
    <w:p w14:paraId="35665280" w14:textId="77777777" w:rsidR="00FC2C1D" w:rsidRDefault="00FC2C1D" w:rsidP="001223CA">
      <w:pPr>
        <w:numPr>
          <w:ilvl w:val="0"/>
          <w:numId w:val="45"/>
        </w:numPr>
        <w:spacing w:before="100" w:beforeAutospacing="1" w:after="100" w:afterAutospacing="1" w:line="240" w:lineRule="auto"/>
      </w:pPr>
      <w:r>
        <w:rPr>
          <w:rStyle w:val="Strong"/>
        </w:rPr>
        <w:t>Implementing case-management plans</w:t>
      </w:r>
      <w:r>
        <w:t> to tailor interventions to individual needs.</w:t>
      </w:r>
    </w:p>
    <w:p w14:paraId="3177B784" w14:textId="77777777" w:rsidR="00FC2C1D" w:rsidRDefault="00FC2C1D" w:rsidP="001223CA">
      <w:pPr>
        <w:numPr>
          <w:ilvl w:val="0"/>
          <w:numId w:val="45"/>
        </w:numPr>
        <w:spacing w:before="100" w:beforeAutospacing="1" w:after="100" w:afterAutospacing="1" w:line="240" w:lineRule="auto"/>
      </w:pPr>
      <w:r>
        <w:rPr>
          <w:rStyle w:val="Strong"/>
        </w:rPr>
        <w:t>Strengthening partnerships with community groups</w:t>
      </w:r>
      <w:r>
        <w:t> to provide additional support.</w:t>
      </w:r>
    </w:p>
    <w:p w14:paraId="123ADAA1" w14:textId="3E0235F9" w:rsidR="00FC2C1D" w:rsidRPr="00EA042E" w:rsidRDefault="00FC2C1D" w:rsidP="00EA042E">
      <w:pPr>
        <w:spacing w:before="100" w:beforeAutospacing="1" w:after="100" w:afterAutospacing="1"/>
      </w:pPr>
      <w:r>
        <w:t>Justice Social Work (JSW) play a key role in </w:t>
      </w:r>
      <w:r>
        <w:rPr>
          <w:rStyle w:val="Strong"/>
        </w:rPr>
        <w:t>advising the judiciary on optimal sentencing solutions</w:t>
      </w:r>
      <w:r>
        <w:t>, promoting </w:t>
      </w:r>
      <w:r>
        <w:rPr>
          <w:rStyle w:val="Strong"/>
        </w:rPr>
        <w:t xml:space="preserve">desistance from offending while minimising harm </w:t>
      </w:r>
      <w:r w:rsidRPr="00C23791">
        <w:rPr>
          <w:rStyle w:val="Strong"/>
          <w:b w:val="0"/>
          <w:bCs w:val="0"/>
        </w:rPr>
        <w:t>and have presented com</w:t>
      </w:r>
      <w:r>
        <w:rPr>
          <w:rStyle w:val="Strong"/>
          <w:b w:val="0"/>
          <w:bCs w:val="0"/>
        </w:rPr>
        <w:t>pelling evidence about the development of work with increasingly complex cohorts of people</w:t>
      </w:r>
      <w:r>
        <w:rPr>
          <w:b/>
        </w:rPr>
        <w:t>.</w:t>
      </w:r>
    </w:p>
    <w:p w14:paraId="76E2030A" w14:textId="77777777" w:rsidR="00FC2C1D" w:rsidRPr="00623EE6" w:rsidRDefault="00FC2C1D" w:rsidP="00FC2C1D">
      <w:pPr>
        <w:rPr>
          <w:b/>
          <w:bCs/>
          <w:color w:val="auto"/>
        </w:rPr>
      </w:pPr>
      <w:r w:rsidRPr="00623EE6">
        <w:rPr>
          <w:b/>
          <w:bCs/>
          <w:color w:val="auto"/>
        </w:rPr>
        <w:t>Managing court disposals</w:t>
      </w:r>
    </w:p>
    <w:p w14:paraId="579B8B72" w14:textId="77777777" w:rsidR="00FC2C1D" w:rsidRPr="00623EE6" w:rsidRDefault="00FC2C1D" w:rsidP="00FC2C1D">
      <w:pPr>
        <w:rPr>
          <w:color w:val="auto"/>
        </w:rPr>
      </w:pPr>
      <w:r w:rsidRPr="00623EE6">
        <w:rPr>
          <w:color w:val="auto"/>
        </w:rPr>
        <w:t xml:space="preserve">A range of reports mentioned below describe the work of JSW in managing court disposals during the reporting period to fulfil this national priority action. </w:t>
      </w:r>
    </w:p>
    <w:p w14:paraId="05417527" w14:textId="77777777" w:rsidR="00FC2C1D" w:rsidRPr="00623EE6" w:rsidRDefault="00FC2C1D" w:rsidP="00FC2C1D">
      <w:pPr>
        <w:spacing w:line="240" w:lineRule="auto"/>
        <w:rPr>
          <w:b/>
          <w:bCs/>
          <w:color w:val="auto"/>
        </w:rPr>
      </w:pPr>
      <w:r w:rsidRPr="00623EE6">
        <w:rPr>
          <w:b/>
          <w:bCs/>
          <w:color w:val="auto"/>
        </w:rPr>
        <w:t>CPOs</w:t>
      </w:r>
    </w:p>
    <w:p w14:paraId="3B37F963" w14:textId="77777777" w:rsidR="00FC2C1D" w:rsidRPr="00623EE6" w:rsidRDefault="00FC2C1D" w:rsidP="00FC2C1D">
      <w:pPr>
        <w:rPr>
          <w:color w:val="auto"/>
        </w:rPr>
      </w:pPr>
      <w:r w:rsidRPr="00623EE6">
        <w:rPr>
          <w:color w:val="auto"/>
        </w:rPr>
        <w:t xml:space="preserve">A separate report </w:t>
      </w:r>
      <w:hyperlink r:id="rId40" w:history="1">
        <w:r w:rsidRPr="00D21A94">
          <w:rPr>
            <w:rStyle w:val="Hyperlink"/>
          </w:rPr>
          <w:t>summary of local authority CPO annual reports</w:t>
        </w:r>
      </w:hyperlink>
      <w:r w:rsidRPr="00623EE6">
        <w:rPr>
          <w:color w:val="auto"/>
        </w:rPr>
        <w:t xml:space="preserve"> is published by CJS. CPOs are managed by courts and JSW services aligned to </w:t>
      </w:r>
      <w:hyperlink r:id="rId41" w:history="1">
        <w:r w:rsidRPr="00623EE6">
          <w:rPr>
            <w:rStyle w:val="Hyperlink"/>
            <w:color w:val="auto"/>
          </w:rPr>
          <w:t>Community Payback Order: practice guidance.</w:t>
        </w:r>
      </w:hyperlink>
    </w:p>
    <w:p w14:paraId="6D6728D9" w14:textId="77777777" w:rsidR="00FC2C1D" w:rsidRDefault="00FC2C1D" w:rsidP="00FC2C1D">
      <w:pPr>
        <w:spacing w:before="100" w:beforeAutospacing="1" w:after="100" w:afterAutospacing="1"/>
        <w:rPr>
          <w:b/>
          <w:bCs/>
        </w:rPr>
      </w:pPr>
      <w:r>
        <w:rPr>
          <w:b/>
          <w:bCs/>
        </w:rPr>
        <w:t>C</w:t>
      </w:r>
      <w:r w:rsidRPr="00C23791">
        <w:rPr>
          <w:b/>
          <w:bCs/>
        </w:rPr>
        <w:t>ase management</w:t>
      </w:r>
      <w:r>
        <w:rPr>
          <w:b/>
          <w:bCs/>
        </w:rPr>
        <w:t xml:space="preserve"> in the community</w:t>
      </w:r>
    </w:p>
    <w:p w14:paraId="2996FD87" w14:textId="77777777" w:rsidR="00FC2C1D" w:rsidRPr="00C23791" w:rsidRDefault="00FC2C1D" w:rsidP="00FC2C1D">
      <w:pPr>
        <w:spacing w:before="100" w:beforeAutospacing="1" w:after="100" w:afterAutospacing="1"/>
        <w:rPr>
          <w:b/>
          <w:bCs/>
        </w:rPr>
      </w:pPr>
      <w:r w:rsidRPr="00834C9E">
        <w:rPr>
          <w:color w:val="auto"/>
        </w:rPr>
        <w:t>The co-production of case-management plans and regular reviews is informed by risk assessment tools including the level of service/case-management inventory (LS/CMI) tool. This ensures that needs directly related to reducing the likelihood of further offending are central features of interventions and other risk reduction activities. Other needs relating to health, wellbeing and social deprivation are incorporated to address destabilising factors with criminogenic potential.</w:t>
      </w:r>
    </w:p>
    <w:p w14:paraId="2088DEB7" w14:textId="77777777" w:rsidR="00FC2C1D" w:rsidRDefault="00FC2C1D" w:rsidP="001223CA">
      <w:pPr>
        <w:numPr>
          <w:ilvl w:val="0"/>
          <w:numId w:val="46"/>
        </w:numPr>
        <w:spacing w:before="100" w:beforeAutospacing="1" w:after="100" w:afterAutospacing="1" w:line="240" w:lineRule="auto"/>
      </w:pPr>
      <w:r>
        <w:rPr>
          <w:rStyle w:val="Strong"/>
        </w:rPr>
        <w:t>Risk assessment tools</w:t>
      </w:r>
      <w:r>
        <w:t> such as the </w:t>
      </w:r>
      <w:r>
        <w:rPr>
          <w:rStyle w:val="Strong"/>
        </w:rPr>
        <w:t>Level of Service/Case Management Inventory (LS/CMI)</w:t>
      </w:r>
      <w:r>
        <w:t> help identify </w:t>
      </w:r>
      <w:r w:rsidRPr="00C23791">
        <w:rPr>
          <w:rStyle w:val="Strong"/>
          <w:b w:val="0"/>
          <w:bCs w:val="0"/>
        </w:rPr>
        <w:t>criminogenic needs</w:t>
      </w:r>
      <w:r>
        <w:t> and inform interventions.</w:t>
      </w:r>
    </w:p>
    <w:p w14:paraId="3DD4CE93" w14:textId="77777777" w:rsidR="00FC2C1D" w:rsidRDefault="00FC2C1D" w:rsidP="001223CA">
      <w:pPr>
        <w:numPr>
          <w:ilvl w:val="0"/>
          <w:numId w:val="46"/>
        </w:numPr>
        <w:spacing w:before="100" w:beforeAutospacing="1" w:after="100" w:afterAutospacing="1" w:line="240" w:lineRule="auto"/>
      </w:pPr>
      <w:r>
        <w:rPr>
          <w:rStyle w:val="Strong"/>
        </w:rPr>
        <w:lastRenderedPageBreak/>
        <w:t>Additional risk assessments</w:t>
      </w:r>
      <w:r>
        <w:t>, where necessary, include:</w:t>
      </w:r>
    </w:p>
    <w:p w14:paraId="2805AACE" w14:textId="77777777" w:rsidR="00FC2C1D" w:rsidRPr="00C23791" w:rsidRDefault="00FC2C1D" w:rsidP="001223CA">
      <w:pPr>
        <w:numPr>
          <w:ilvl w:val="1"/>
          <w:numId w:val="46"/>
        </w:numPr>
        <w:spacing w:before="100" w:beforeAutospacing="1" w:after="100" w:afterAutospacing="1" w:line="240" w:lineRule="auto"/>
        <w:rPr>
          <w:b/>
        </w:rPr>
      </w:pPr>
      <w:r w:rsidRPr="00C23791">
        <w:rPr>
          <w:rStyle w:val="Strong"/>
          <w:b w:val="0"/>
          <w:bCs w:val="0"/>
        </w:rPr>
        <w:t>Spousal Assault Risk Assessment Version 3 (SARA V3)</w:t>
      </w:r>
    </w:p>
    <w:p w14:paraId="7C766CA9" w14:textId="77777777" w:rsidR="00FC2C1D" w:rsidRPr="00C23791" w:rsidRDefault="00FC2C1D" w:rsidP="001223CA">
      <w:pPr>
        <w:numPr>
          <w:ilvl w:val="1"/>
          <w:numId w:val="46"/>
        </w:numPr>
        <w:spacing w:before="100" w:beforeAutospacing="1" w:after="100" w:afterAutospacing="1" w:line="240" w:lineRule="auto"/>
        <w:rPr>
          <w:b/>
        </w:rPr>
      </w:pPr>
      <w:r w:rsidRPr="00C23791">
        <w:rPr>
          <w:rStyle w:val="Strong"/>
          <w:b w:val="0"/>
          <w:bCs w:val="0"/>
        </w:rPr>
        <w:t>Risk Matrix 2000 (RM2K)</w:t>
      </w:r>
    </w:p>
    <w:p w14:paraId="663388B4" w14:textId="77777777" w:rsidR="00FC2C1D" w:rsidRPr="00C23791" w:rsidRDefault="00FC2C1D" w:rsidP="001223CA">
      <w:pPr>
        <w:numPr>
          <w:ilvl w:val="1"/>
          <w:numId w:val="46"/>
        </w:numPr>
        <w:spacing w:before="100" w:beforeAutospacing="1" w:after="100" w:afterAutospacing="1" w:line="240" w:lineRule="auto"/>
        <w:rPr>
          <w:b/>
        </w:rPr>
      </w:pPr>
      <w:r w:rsidRPr="00C23791">
        <w:rPr>
          <w:rStyle w:val="Strong"/>
          <w:b w:val="0"/>
          <w:bCs w:val="0"/>
        </w:rPr>
        <w:t>Stable and Acute 2007 (SA07)</w:t>
      </w:r>
    </w:p>
    <w:p w14:paraId="62103E3A" w14:textId="77777777" w:rsidR="00FC2C1D" w:rsidRDefault="00FC2C1D" w:rsidP="00FC2C1D">
      <w:pPr>
        <w:spacing w:before="100" w:beforeAutospacing="1" w:after="100" w:afterAutospacing="1"/>
      </w:pPr>
      <w:r>
        <w:t>These tools ensure interventions are </w:t>
      </w:r>
      <w:r>
        <w:rPr>
          <w:rStyle w:val="Strong"/>
        </w:rPr>
        <w:t>proportionate and targeted</w:t>
      </w:r>
      <w:r>
        <w:t> to mitigate the risk of further offending.</w:t>
      </w:r>
    </w:p>
    <w:p w14:paraId="635328D3" w14:textId="77777777" w:rsidR="00FC2C1D" w:rsidRPr="00C23791" w:rsidRDefault="00FC2C1D" w:rsidP="00FC2C1D">
      <w:pPr>
        <w:pStyle w:val="Heading4"/>
        <w:rPr>
          <w:rFonts w:eastAsia="Times New Roman"/>
          <w:bCs/>
          <w:i w:val="0"/>
          <w:iCs w:val="0"/>
          <w:sz w:val="28"/>
          <w:szCs w:val="28"/>
        </w:rPr>
      </w:pPr>
      <w:r w:rsidRPr="00C23791">
        <w:rPr>
          <w:rStyle w:val="Strong"/>
          <w:rFonts w:eastAsia="Times New Roman"/>
          <w:i w:val="0"/>
          <w:iCs w:val="0"/>
          <w:sz w:val="28"/>
          <w:szCs w:val="28"/>
        </w:rPr>
        <w:t>Drug Treatment and Testing Orders (DTTOs)</w:t>
      </w:r>
    </w:p>
    <w:p w14:paraId="4D6B0DA0" w14:textId="50D6E1D7" w:rsidR="00FC2C1D" w:rsidRDefault="00FC2C1D" w:rsidP="00C23791">
      <w:pPr>
        <w:rPr>
          <w:rFonts w:eastAsia="Times New Roman"/>
        </w:rPr>
      </w:pPr>
      <w:r>
        <w:t>The </w:t>
      </w:r>
      <w:r>
        <w:rPr>
          <w:rStyle w:val="Strong"/>
        </w:rPr>
        <w:t>Scottish Government’s 2023 review</w:t>
      </w:r>
      <w:r>
        <w:rPr>
          <w:rStyle w:val="FootnoteReference"/>
          <w:b/>
          <w:bCs/>
        </w:rPr>
        <w:footnoteReference w:id="37"/>
      </w:r>
      <w:r>
        <w:t> on community sentencing for individuals with substance use issues highlighted the </w:t>
      </w:r>
      <w:r>
        <w:rPr>
          <w:rStyle w:val="Strong"/>
        </w:rPr>
        <w:t>complexities of DTTOs</w:t>
      </w:r>
      <w:r>
        <w:t>. This report identified areas for further exploration with </w:t>
      </w:r>
      <w:r>
        <w:rPr>
          <w:rStyle w:val="Strong"/>
        </w:rPr>
        <w:t>stakeholders and individuals with lived experience</w:t>
      </w:r>
      <w:r>
        <w:t>. Work is ongoing to </w:t>
      </w:r>
      <w:r>
        <w:rPr>
          <w:rStyle w:val="Strong"/>
        </w:rPr>
        <w:t>develop and refine approaches</w:t>
      </w:r>
      <w:r>
        <w:t> in this area.</w:t>
      </w:r>
    </w:p>
    <w:p w14:paraId="1EF692E3" w14:textId="77777777" w:rsidR="00FC2C1D" w:rsidRDefault="00FC2C1D" w:rsidP="00FC2C1D">
      <w:pPr>
        <w:pStyle w:val="Heading3"/>
      </w:pPr>
      <w:r>
        <w:t>Specialist Programmes</w:t>
      </w:r>
    </w:p>
    <w:p w14:paraId="746DC72F" w14:textId="77777777" w:rsidR="00FC2C1D" w:rsidRPr="00C23791" w:rsidRDefault="00FC2C1D" w:rsidP="00FC2C1D">
      <w:pPr>
        <w:pStyle w:val="Heading4"/>
        <w:rPr>
          <w:rFonts w:eastAsia="Times New Roman"/>
          <w:bCs/>
          <w:i w:val="0"/>
          <w:iCs w:val="0"/>
          <w:sz w:val="28"/>
          <w:szCs w:val="28"/>
        </w:rPr>
      </w:pPr>
      <w:r w:rsidRPr="00C23791">
        <w:rPr>
          <w:rStyle w:val="Strong"/>
          <w:rFonts w:eastAsia="Times New Roman"/>
          <w:i w:val="0"/>
          <w:iCs w:val="0"/>
          <w:sz w:val="28"/>
          <w:szCs w:val="28"/>
        </w:rPr>
        <w:t>The Caledonian System</w:t>
      </w:r>
    </w:p>
    <w:p w14:paraId="327F432C" w14:textId="77777777" w:rsidR="00FC2C1D" w:rsidRDefault="00FC2C1D" w:rsidP="00FC2C1D">
      <w:pPr>
        <w:spacing w:before="100" w:beforeAutospacing="1" w:after="100" w:afterAutospacing="1"/>
      </w:pPr>
      <w:r>
        <w:t>The </w:t>
      </w:r>
      <w:r>
        <w:rPr>
          <w:rStyle w:val="Strong"/>
        </w:rPr>
        <w:t>Caledonian System</w:t>
      </w:r>
      <w:r>
        <w:t>, a structured intervention for domestic abuse perpetrators, was active in </w:t>
      </w:r>
      <w:r>
        <w:rPr>
          <w:rStyle w:val="Strong"/>
        </w:rPr>
        <w:t>20 local authorities</w:t>
      </w:r>
      <w:r>
        <w:t> in 2023-24.</w:t>
      </w:r>
    </w:p>
    <w:p w14:paraId="5740B471" w14:textId="77777777" w:rsidR="00FC2C1D" w:rsidRDefault="00FC2C1D" w:rsidP="00FC2C1D">
      <w:pPr>
        <w:spacing w:before="100" w:beforeAutospacing="1" w:after="100" w:afterAutospacing="1"/>
      </w:pPr>
      <w:r>
        <w:t>Recent developments:</w:t>
      </w:r>
    </w:p>
    <w:p w14:paraId="68573B80" w14:textId="77777777" w:rsidR="00FC2C1D" w:rsidRDefault="00FC2C1D" w:rsidP="001223CA">
      <w:pPr>
        <w:numPr>
          <w:ilvl w:val="0"/>
          <w:numId w:val="47"/>
        </w:numPr>
        <w:spacing w:before="100" w:beforeAutospacing="1" w:after="100" w:afterAutospacing="1" w:line="240" w:lineRule="auto"/>
      </w:pPr>
      <w:r>
        <w:rPr>
          <w:rStyle w:val="Strong"/>
        </w:rPr>
        <w:t>West Dunbartonshire Council</w:t>
      </w:r>
      <w:r>
        <w:t> began delivery in 2023-24, supported by </w:t>
      </w:r>
      <w:r>
        <w:rPr>
          <w:rStyle w:val="Strong"/>
        </w:rPr>
        <w:t>bespoke training from CJS</w:t>
      </w:r>
      <w:r>
        <w:t>.</w:t>
      </w:r>
    </w:p>
    <w:p w14:paraId="75927F47" w14:textId="77777777" w:rsidR="00FC2C1D" w:rsidRDefault="00FC2C1D" w:rsidP="001223CA">
      <w:pPr>
        <w:numPr>
          <w:ilvl w:val="0"/>
          <w:numId w:val="47"/>
        </w:numPr>
        <w:spacing w:before="100" w:beforeAutospacing="1" w:after="100" w:afterAutospacing="1" w:line="240" w:lineRule="auto"/>
      </w:pPr>
      <w:r>
        <w:rPr>
          <w:rStyle w:val="Strong"/>
        </w:rPr>
        <w:t>Preparations for expansion</w:t>
      </w:r>
      <w:r>
        <w:t> in </w:t>
      </w:r>
      <w:r>
        <w:rPr>
          <w:rStyle w:val="Strong"/>
        </w:rPr>
        <w:t>Moray Council</w:t>
      </w:r>
      <w:r>
        <w:t> (early 2025) and </w:t>
      </w:r>
      <w:r>
        <w:rPr>
          <w:rStyle w:val="Strong"/>
        </w:rPr>
        <w:t>Shetland Council</w:t>
      </w:r>
      <w:r>
        <w:t> (late 2025) are underway.</w:t>
      </w:r>
    </w:p>
    <w:p w14:paraId="1029C892" w14:textId="77777777" w:rsidR="00FC2C1D" w:rsidRDefault="00FC2C1D" w:rsidP="001223CA">
      <w:pPr>
        <w:numPr>
          <w:ilvl w:val="0"/>
          <w:numId w:val="47"/>
        </w:numPr>
        <w:spacing w:before="100" w:beforeAutospacing="1" w:after="100" w:afterAutospacing="1" w:line="240" w:lineRule="auto"/>
      </w:pPr>
      <w:r>
        <w:rPr>
          <w:rStyle w:val="Strong"/>
        </w:rPr>
        <w:t>The Scottish Government remains committed</w:t>
      </w:r>
      <w:r>
        <w:t> to rolling out the Caledonian System nationally.</w:t>
      </w:r>
    </w:p>
    <w:p w14:paraId="2E005398" w14:textId="77777777" w:rsidR="00FC2C1D" w:rsidRPr="00C23791" w:rsidRDefault="00FC2C1D" w:rsidP="00FC2C1D">
      <w:pPr>
        <w:pStyle w:val="Heading4"/>
        <w:rPr>
          <w:rFonts w:eastAsia="Times New Roman"/>
          <w:b/>
          <w:bCs/>
          <w:i w:val="0"/>
          <w:iCs w:val="0"/>
          <w:sz w:val="28"/>
          <w:szCs w:val="28"/>
        </w:rPr>
      </w:pPr>
      <w:r w:rsidRPr="00C23791">
        <w:rPr>
          <w:rStyle w:val="Strong"/>
          <w:rFonts w:eastAsia="Times New Roman"/>
          <w:i w:val="0"/>
          <w:iCs w:val="0"/>
          <w:sz w:val="28"/>
          <w:szCs w:val="28"/>
        </w:rPr>
        <w:t>Multi-Agency Public Protection Arrangements (MAPPA)</w:t>
      </w:r>
    </w:p>
    <w:p w14:paraId="5D93BDCB" w14:textId="77777777" w:rsidR="00FC2C1D" w:rsidRDefault="00FC2C1D" w:rsidP="00FC2C1D">
      <w:pPr>
        <w:spacing w:before="100" w:beforeAutospacing="1" w:after="100" w:afterAutospacing="1"/>
      </w:pPr>
      <w:r>
        <w:t>MAPPA continues to play a key role in </w:t>
      </w:r>
      <w:r>
        <w:rPr>
          <w:rStyle w:val="Strong"/>
        </w:rPr>
        <w:t>public protection and risk management</w:t>
      </w:r>
      <w:r>
        <w:t xml:space="preserve">. </w:t>
      </w:r>
      <w:r>
        <w:rPr>
          <w:color w:val="auto"/>
        </w:rPr>
        <w:t xml:space="preserve">MAPPA arrangements </w:t>
      </w:r>
      <w:r w:rsidRPr="00623EE6">
        <w:rPr>
          <w:color w:val="auto"/>
        </w:rPr>
        <w:t xml:space="preserve">remain in place to protect the public and reduce serious harm. In Scotland, MAPPA brings together the police, Scottish Prison Service (SPS), health boards and local authorities, as the responsible authorities, to assess and manage the risks posed by certain categories of offender. This continues to be a robust process. </w:t>
      </w:r>
      <w:r>
        <w:rPr>
          <w:color w:val="auto"/>
        </w:rPr>
        <w:t xml:space="preserve">A </w:t>
      </w:r>
      <w:r>
        <w:rPr>
          <w:rStyle w:val="Strong"/>
        </w:rPr>
        <w:t>full report on MAPPA in Scotland for 2023-24</w:t>
      </w:r>
      <w:r>
        <w:t> has been published by the </w:t>
      </w:r>
      <w:r>
        <w:rPr>
          <w:rStyle w:val="Strong"/>
        </w:rPr>
        <w:t>Scottish Government</w:t>
      </w:r>
      <w:r>
        <w:t>.</w:t>
      </w:r>
    </w:p>
    <w:p w14:paraId="741208A1" w14:textId="43331107" w:rsidR="00FC2C1D" w:rsidRPr="00C23791" w:rsidRDefault="00FC2C1D" w:rsidP="0075069C">
      <w:pPr>
        <w:pStyle w:val="Heading3"/>
      </w:pPr>
      <w:r w:rsidRPr="00742793">
        <w:lastRenderedPageBreak/>
        <w:t>Addressing Justice System Inequalities</w:t>
      </w:r>
    </w:p>
    <w:p w14:paraId="72E1F01D" w14:textId="77777777" w:rsidR="00FC2C1D" w:rsidRPr="00C23791" w:rsidRDefault="00FC2C1D" w:rsidP="00FC2C1D">
      <w:pPr>
        <w:pStyle w:val="Heading4"/>
        <w:rPr>
          <w:rFonts w:eastAsia="Times New Roman"/>
          <w:bCs/>
          <w:i w:val="0"/>
          <w:iCs w:val="0"/>
          <w:sz w:val="28"/>
          <w:szCs w:val="28"/>
        </w:rPr>
      </w:pPr>
      <w:r w:rsidRPr="00C23791">
        <w:rPr>
          <w:rStyle w:val="Strong"/>
          <w:rFonts w:eastAsia="Times New Roman"/>
          <w:i w:val="0"/>
          <w:iCs w:val="0"/>
          <w:sz w:val="28"/>
          <w:szCs w:val="28"/>
        </w:rPr>
        <w:t>Women in Conflict with the Law</w:t>
      </w:r>
    </w:p>
    <w:p w14:paraId="60C56A77" w14:textId="77777777" w:rsidR="00FC2C1D" w:rsidRDefault="00FC2C1D" w:rsidP="00FC2C1D">
      <w:pPr>
        <w:spacing w:before="100" w:beforeAutospacing="1" w:after="100" w:afterAutospacing="1"/>
      </w:pPr>
      <w:r>
        <w:t>Women in the justice system are more likely to have </w:t>
      </w:r>
      <w:r>
        <w:rPr>
          <w:rStyle w:val="Strong"/>
        </w:rPr>
        <w:t>histories of trauma, abuse, mental and physical health challenges, and addiction issues</w:t>
      </w:r>
      <w:r>
        <w:t>. The </w:t>
      </w:r>
      <w:r>
        <w:rPr>
          <w:rStyle w:val="Strong"/>
        </w:rPr>
        <w:t>2012 Angiolini Report (Commission on Women Offenders)</w:t>
      </w:r>
      <w:r>
        <w:t> continues to shape service improvements for women.</w:t>
      </w:r>
    </w:p>
    <w:p w14:paraId="109240A8" w14:textId="77777777" w:rsidR="00FC2C1D" w:rsidRDefault="00FC2C1D" w:rsidP="00FC2C1D">
      <w:pPr>
        <w:spacing w:before="100" w:beforeAutospacing="1" w:after="100" w:afterAutospacing="1"/>
      </w:pPr>
      <w:r>
        <w:t>Key developments:</w:t>
      </w:r>
    </w:p>
    <w:p w14:paraId="55C7364F" w14:textId="77777777" w:rsidR="00FC2C1D" w:rsidRDefault="00FC2C1D" w:rsidP="001223CA">
      <w:pPr>
        <w:numPr>
          <w:ilvl w:val="0"/>
          <w:numId w:val="48"/>
        </w:numPr>
        <w:spacing w:before="100" w:beforeAutospacing="1" w:after="100" w:afterAutospacing="1" w:line="240" w:lineRule="auto"/>
      </w:pPr>
      <w:r>
        <w:t>Expansion of </w:t>
      </w:r>
      <w:r>
        <w:rPr>
          <w:rStyle w:val="Strong"/>
        </w:rPr>
        <w:t>specialist women’s justice teams</w:t>
      </w:r>
      <w:r>
        <w:t>, including </w:t>
      </w:r>
      <w:r>
        <w:rPr>
          <w:rStyle w:val="Strong"/>
        </w:rPr>
        <w:t>multi-disciplinary support</w:t>
      </w:r>
      <w:r>
        <w:t> for mental health, addictions, and trauma-informed care.</w:t>
      </w:r>
    </w:p>
    <w:p w14:paraId="567B6743" w14:textId="77777777" w:rsidR="00FC2C1D" w:rsidRDefault="00FC2C1D" w:rsidP="001223CA">
      <w:pPr>
        <w:numPr>
          <w:ilvl w:val="0"/>
          <w:numId w:val="48"/>
        </w:numPr>
        <w:spacing w:before="100" w:beforeAutospacing="1" w:after="100" w:afterAutospacing="1" w:line="240" w:lineRule="auto"/>
      </w:pPr>
      <w:r>
        <w:rPr>
          <w:rStyle w:val="Strong"/>
        </w:rPr>
        <w:t>Ongoing gaps remain</w:t>
      </w:r>
      <w:r>
        <w:t>, particularly in </w:t>
      </w:r>
      <w:r>
        <w:rPr>
          <w:rStyle w:val="Strong"/>
        </w:rPr>
        <w:t>rural areas</w:t>
      </w:r>
      <w:r>
        <w:t>, where </w:t>
      </w:r>
      <w:r>
        <w:rPr>
          <w:rStyle w:val="Strong"/>
        </w:rPr>
        <w:t>dedicated gender-sensitive services</w:t>
      </w:r>
      <w:r>
        <w:t> are less accessible.</w:t>
      </w:r>
    </w:p>
    <w:p w14:paraId="57356B20" w14:textId="77777777" w:rsidR="00FC2C1D" w:rsidRDefault="00FC2C1D" w:rsidP="00FC2C1D">
      <w:pPr>
        <w:spacing w:before="100" w:beforeAutospacing="1" w:after="100" w:afterAutospacing="1"/>
      </w:pPr>
      <w:r>
        <w:t>The </w:t>
      </w:r>
      <w:r>
        <w:rPr>
          <w:rStyle w:val="Strong"/>
        </w:rPr>
        <w:t>Angiolini Report</w:t>
      </w:r>
      <w:r>
        <w:t> has also influenced the </w:t>
      </w:r>
      <w:r>
        <w:rPr>
          <w:rStyle w:val="Strong"/>
        </w:rPr>
        <w:t>redesign of women’s prisons</w:t>
      </w:r>
      <w:r>
        <w:t>, including the opening of </w:t>
      </w:r>
      <w:r>
        <w:rPr>
          <w:rStyle w:val="Strong"/>
        </w:rPr>
        <w:t>HMP &amp; YOI Stirling in May 2023</w:t>
      </w:r>
      <w:r>
        <w:t>.</w:t>
      </w:r>
    </w:p>
    <w:p w14:paraId="375B9925" w14:textId="77777777" w:rsidR="00FC2C1D" w:rsidRPr="00C23791" w:rsidRDefault="00FC2C1D" w:rsidP="00C23791">
      <w:pPr>
        <w:rPr>
          <w:color w:val="auto"/>
        </w:rPr>
      </w:pPr>
      <w:r>
        <w:rPr>
          <w:color w:val="auto"/>
        </w:rPr>
        <w:t>T</w:t>
      </w:r>
      <w:r w:rsidRPr="00623EE6">
        <w:rPr>
          <w:color w:val="auto"/>
        </w:rPr>
        <w:t>here is widespread commitment to continuous improvement of women’s services across the justice system</w:t>
      </w:r>
      <w:r>
        <w:rPr>
          <w:color w:val="auto"/>
        </w:rPr>
        <w:t xml:space="preserve"> and d</w:t>
      </w:r>
      <w:r w:rsidRPr="00623EE6">
        <w:rPr>
          <w:color w:val="auto"/>
        </w:rPr>
        <w:t>edicated local partnerships are well established to address violence against women and girls with strong links to community justice partnerships and services.</w:t>
      </w:r>
    </w:p>
    <w:p w14:paraId="500EF735" w14:textId="77777777" w:rsidR="00FC2C1D" w:rsidRPr="00C23791" w:rsidRDefault="00FC2C1D" w:rsidP="00C23791">
      <w:pPr>
        <w:spacing w:before="100" w:beforeAutospacing="1" w:after="100" w:afterAutospacing="1"/>
        <w:rPr>
          <w:b/>
          <w:bCs/>
        </w:rPr>
      </w:pPr>
      <w:r w:rsidRPr="00290FE7">
        <w:rPr>
          <w:rStyle w:val="Strong"/>
          <w:rFonts w:eastAsia="Times New Roman"/>
        </w:rPr>
        <w:t>Children and Young People</w:t>
      </w:r>
    </w:p>
    <w:p w14:paraId="692E9321" w14:textId="77777777" w:rsidR="00FC2C1D" w:rsidRDefault="00FC2C1D" w:rsidP="00FC2C1D">
      <w:pPr>
        <w:spacing w:before="100" w:beforeAutospacing="1" w:after="100" w:afterAutospacing="1"/>
      </w:pPr>
      <w:r>
        <w:t>Scotland’s approach to </w:t>
      </w:r>
      <w:r>
        <w:rPr>
          <w:rStyle w:val="Strong"/>
        </w:rPr>
        <w:t>youth justice</w:t>
      </w:r>
      <w:r>
        <w:t> is supported by the </w:t>
      </w:r>
      <w:r>
        <w:rPr>
          <w:rStyle w:val="Strong"/>
        </w:rPr>
        <w:t>Children and Young People’s Centre for Justice (CYCJ)</w:t>
      </w:r>
      <w:r>
        <w:t>. Key developments include:</w:t>
      </w:r>
    </w:p>
    <w:p w14:paraId="3ACF41E3" w14:textId="77777777" w:rsidR="00FC2C1D" w:rsidRPr="00C23791" w:rsidRDefault="00FC2C1D" w:rsidP="001223CA">
      <w:pPr>
        <w:numPr>
          <w:ilvl w:val="0"/>
          <w:numId w:val="49"/>
        </w:numPr>
        <w:spacing w:before="100" w:beforeAutospacing="1" w:after="100" w:afterAutospacing="1" w:line="240" w:lineRule="auto"/>
        <w:rPr>
          <w:rStyle w:val="Strong"/>
          <w:b w:val="0"/>
          <w:bCs w:val="0"/>
        </w:rPr>
      </w:pPr>
      <w:r>
        <w:rPr>
          <w:rStyle w:val="Strong"/>
        </w:rPr>
        <w:t>The Children (Care and Justice) (Scotland) Bill</w:t>
      </w:r>
      <w:r>
        <w:t>, which seeks to </w:t>
      </w:r>
      <w:r>
        <w:rPr>
          <w:rStyle w:val="Strong"/>
        </w:rPr>
        <w:t>keep children out of the justice system</w:t>
      </w:r>
      <w:r>
        <w:t> and </w:t>
      </w:r>
      <w:r>
        <w:rPr>
          <w:rStyle w:val="Strong"/>
        </w:rPr>
        <w:t>end under-18 detention in prisons</w:t>
      </w:r>
      <w:r>
        <w:t>.</w:t>
      </w:r>
    </w:p>
    <w:p w14:paraId="3C1F86B2" w14:textId="77777777" w:rsidR="00FC2C1D" w:rsidRPr="00C23791" w:rsidRDefault="00FC2C1D" w:rsidP="00C23791">
      <w:pPr>
        <w:spacing w:before="100" w:beforeAutospacing="1" w:after="100" w:afterAutospacing="1" w:line="240" w:lineRule="auto"/>
        <w:rPr>
          <w:b/>
          <w:bCs/>
        </w:rPr>
      </w:pPr>
      <w:r w:rsidRPr="00290FE7">
        <w:rPr>
          <w:rStyle w:val="Strong"/>
          <w:rFonts w:eastAsia="Times New Roman"/>
        </w:rPr>
        <w:t>Structural Gaps in Justice Support</w:t>
      </w:r>
    </w:p>
    <w:p w14:paraId="207F1D5A" w14:textId="77777777" w:rsidR="00FC2C1D" w:rsidRDefault="00FC2C1D" w:rsidP="00FC2C1D">
      <w:pPr>
        <w:spacing w:before="100" w:beforeAutospacing="1" w:after="100" w:afterAutospacing="1"/>
      </w:pPr>
      <w:r>
        <w:t>While progress has been made in some areas, </w:t>
      </w:r>
      <w:r>
        <w:rPr>
          <w:rStyle w:val="Strong"/>
        </w:rPr>
        <w:t>evidence remains limited</w:t>
      </w:r>
      <w:r>
        <w:t> on how well the justice system supports:</w:t>
      </w:r>
    </w:p>
    <w:p w14:paraId="4795D27F" w14:textId="77777777" w:rsidR="00FC2C1D" w:rsidRDefault="00FC2C1D" w:rsidP="001223CA">
      <w:pPr>
        <w:numPr>
          <w:ilvl w:val="0"/>
          <w:numId w:val="50"/>
        </w:numPr>
        <w:spacing w:before="100" w:beforeAutospacing="1" w:after="100" w:afterAutospacing="1" w:line="240" w:lineRule="auto"/>
      </w:pPr>
      <w:r>
        <w:rPr>
          <w:rStyle w:val="Strong"/>
        </w:rPr>
        <w:t>Neurodivergent individuals (e.g., autism, learning disabilities).</w:t>
      </w:r>
    </w:p>
    <w:p w14:paraId="59B932F1" w14:textId="77777777" w:rsidR="00FC2C1D" w:rsidRDefault="00FC2C1D" w:rsidP="001223CA">
      <w:pPr>
        <w:numPr>
          <w:ilvl w:val="0"/>
          <w:numId w:val="50"/>
        </w:numPr>
        <w:spacing w:before="100" w:beforeAutospacing="1" w:after="100" w:afterAutospacing="1" w:line="240" w:lineRule="auto"/>
      </w:pPr>
      <w:r>
        <w:rPr>
          <w:rStyle w:val="Strong"/>
        </w:rPr>
        <w:t>People from diverse ethnic backgrounds.</w:t>
      </w:r>
    </w:p>
    <w:p w14:paraId="30E43B77" w14:textId="77777777" w:rsidR="00FC2C1D" w:rsidRDefault="00FC2C1D" w:rsidP="001223CA">
      <w:pPr>
        <w:numPr>
          <w:ilvl w:val="0"/>
          <w:numId w:val="50"/>
        </w:numPr>
        <w:spacing w:before="100" w:beforeAutospacing="1" w:after="100" w:afterAutospacing="1" w:line="240" w:lineRule="auto"/>
      </w:pPr>
      <w:r>
        <w:rPr>
          <w:rStyle w:val="Strong"/>
        </w:rPr>
        <w:t>Individuals with language or communication needs.</w:t>
      </w:r>
    </w:p>
    <w:p w14:paraId="3ECA1DFF" w14:textId="77777777" w:rsidR="00FC2C1D" w:rsidRDefault="00FC2C1D" w:rsidP="00FC2C1D">
      <w:pPr>
        <w:spacing w:before="100" w:beforeAutospacing="1" w:after="100" w:afterAutospacing="1"/>
      </w:pPr>
      <w:r>
        <w:t>The </w:t>
      </w:r>
      <w:r>
        <w:rPr>
          <w:rStyle w:val="Strong"/>
        </w:rPr>
        <w:t>SOLD Network</w:t>
      </w:r>
      <w:r>
        <w:t> has been instrumental in </w:t>
      </w:r>
      <w:r>
        <w:rPr>
          <w:rStyle w:val="Strong"/>
        </w:rPr>
        <w:t>raising awareness</w:t>
      </w:r>
      <w:r>
        <w:t> and promoting </w:t>
      </w:r>
      <w:r>
        <w:rPr>
          <w:rStyle w:val="Strong"/>
        </w:rPr>
        <w:t>justice system improvements</w:t>
      </w:r>
      <w:r>
        <w:t xml:space="preserve"> for people with learning disabilities, autism, </w:t>
      </w:r>
      <w:r>
        <w:lastRenderedPageBreak/>
        <w:t>and neurodiversity. However, further research and service development are needed to ensure </w:t>
      </w:r>
      <w:r>
        <w:rPr>
          <w:rStyle w:val="Strong"/>
        </w:rPr>
        <w:t>equitable support across all protected characteristics</w:t>
      </w:r>
      <w:r>
        <w:t>.</w:t>
      </w:r>
    </w:p>
    <w:p w14:paraId="6AED8A57" w14:textId="77777777" w:rsidR="00FC2C1D" w:rsidRPr="00623EE6" w:rsidRDefault="00FC2C1D" w:rsidP="00FC2C1D">
      <w:pPr>
        <w:spacing w:line="276" w:lineRule="auto"/>
        <w:rPr>
          <w:color w:val="auto"/>
        </w:rPr>
      </w:pPr>
      <w:r w:rsidRPr="00623EE6">
        <w:rPr>
          <w:color w:val="auto"/>
        </w:rPr>
        <w:t xml:space="preserve">The following statement from the 2023 </w:t>
      </w:r>
      <w:hyperlink r:id="rId42" w:history="1">
        <w:r w:rsidRPr="00623EE6">
          <w:rPr>
            <w:rStyle w:val="Hyperlink"/>
            <w:color w:val="auto"/>
          </w:rPr>
          <w:t>National Care Service Justice Social Work Research Report</w:t>
        </w:r>
      </w:hyperlink>
      <w:r w:rsidRPr="00623EE6">
        <w:rPr>
          <w:color w:val="auto"/>
        </w:rPr>
        <w:t xml:space="preserve"> is consistent with observations provided to CJS</w:t>
      </w:r>
      <w:r>
        <w:rPr>
          <w:color w:val="auto"/>
        </w:rPr>
        <w:t>:</w:t>
      </w:r>
    </w:p>
    <w:p w14:paraId="35E1091E" w14:textId="77777777" w:rsidR="00FC2C1D" w:rsidRPr="00623EE6" w:rsidRDefault="00FC2C1D" w:rsidP="00FC2C1D">
      <w:pPr>
        <w:pStyle w:val="Quote"/>
      </w:pPr>
      <w:r w:rsidRPr="00623EE6">
        <w:t>‘Where JSW had developed specialist services targeting specific groups (e.g. women or young people), these groups were generally seen by JSW professionals as well supported. Groups of JSW clients who were perceived to be less well served included: those with particularly complex or multiple needs, (older) people convicted of sexual offences, and clients in rural areas. However, again these perceived inequalities in access to support were viewed as, at least partly, a reflection of challenges accessing appropriate support from external partners rather than weaknesses in JSW delivery.’</w:t>
      </w:r>
    </w:p>
    <w:p w14:paraId="152791C0" w14:textId="77777777" w:rsidR="00FC2C1D" w:rsidRPr="00C23791" w:rsidRDefault="00FC2C1D" w:rsidP="00C23791">
      <w:pPr>
        <w:rPr>
          <w:color w:val="auto"/>
        </w:rPr>
      </w:pPr>
      <w:r w:rsidRPr="00623EE6">
        <w:rPr>
          <w:color w:val="auto"/>
        </w:rPr>
        <w:t>Feedback from local areas noted strengths in developing services for women. By contrast, there was little evidence about how challenges in providing integrated community support for other protected characteristics are being recognised and addressed, for example, communication support needs for neurodiversity</w:t>
      </w:r>
      <w:r>
        <w:rPr>
          <w:color w:val="auto"/>
        </w:rPr>
        <w:t xml:space="preserve"> and learning disability,</w:t>
      </w:r>
      <w:r w:rsidRPr="00623EE6">
        <w:rPr>
          <w:color w:val="auto"/>
        </w:rPr>
        <w:t xml:space="preserve"> or for people with limited English. This occurred across all priority actions and further information is required to build an evidence base.</w:t>
      </w:r>
    </w:p>
    <w:p w14:paraId="2A0F4207" w14:textId="77777777" w:rsidR="00FC2C1D" w:rsidRDefault="00FC2C1D" w:rsidP="00FC2C1D">
      <w:pPr>
        <w:pStyle w:val="Heading3"/>
      </w:pPr>
      <w:r>
        <w:t>Sentencing Trends</w:t>
      </w:r>
    </w:p>
    <w:p w14:paraId="2664C0C4" w14:textId="77777777" w:rsidR="00FC2C1D" w:rsidRDefault="00FC2C1D" w:rsidP="00FC2C1D">
      <w:pPr>
        <w:spacing w:before="100" w:beforeAutospacing="1" w:after="100" w:afterAutospacing="1"/>
      </w:pPr>
      <w:r>
        <w:t>Structured deferred sentences, which offer sentencers a </w:t>
      </w:r>
      <w:r>
        <w:rPr>
          <w:rStyle w:val="Strong"/>
        </w:rPr>
        <w:t>community-first approach</w:t>
      </w:r>
      <w:r>
        <w:t>, have seen </w:t>
      </w:r>
      <w:r>
        <w:rPr>
          <w:rStyle w:val="Strong"/>
        </w:rPr>
        <w:t>continued growth</w:t>
      </w:r>
      <w:r>
        <w:t> post-pandemic. In </w:t>
      </w:r>
      <w:r>
        <w:rPr>
          <w:rStyle w:val="Strong"/>
        </w:rPr>
        <w:t>2023-24</w:t>
      </w:r>
      <w:r>
        <w:t>, a </w:t>
      </w:r>
      <w:r>
        <w:rPr>
          <w:rStyle w:val="Strong"/>
        </w:rPr>
        <w:t>record 1,434 sentences were commenced</w:t>
      </w:r>
      <w:r>
        <w:t>—the highest since data collection began in </w:t>
      </w:r>
      <w:r>
        <w:rPr>
          <w:rStyle w:val="Strong"/>
        </w:rPr>
        <w:t>2018-19</w:t>
      </w:r>
      <w:r>
        <w:t>.</w:t>
      </w:r>
      <w:r>
        <w:rPr>
          <w:rStyle w:val="FootnoteReference"/>
        </w:rPr>
        <w:footnoteReference w:id="38"/>
      </w:r>
    </w:p>
    <w:p w14:paraId="0243D7DA" w14:textId="77777777" w:rsidR="00FC2C1D" w:rsidRDefault="00FC2C1D" w:rsidP="00FC2C1D">
      <w:pPr>
        <w:spacing w:before="100" w:beforeAutospacing="1" w:after="100" w:afterAutospacing="1"/>
      </w:pPr>
      <w:r>
        <w:t>Despite this progress, cases still arise where sentencers impose </w:t>
      </w:r>
      <w:r>
        <w:rPr>
          <w:rStyle w:val="Strong"/>
        </w:rPr>
        <w:t>custodial sentences</w:t>
      </w:r>
      <w:r>
        <w:t> despite </w:t>
      </w:r>
      <w:r>
        <w:rPr>
          <w:rStyle w:val="Strong"/>
        </w:rPr>
        <w:t>JSW recommendations for community-based disposals</w:t>
      </w:r>
      <w:r>
        <w:t>. Structured deferred sentences and problem-solving courts provide opportunities to </w:t>
      </w:r>
      <w:r>
        <w:rPr>
          <w:rStyle w:val="Strong"/>
        </w:rPr>
        <w:t>bridge this gap</w:t>
      </w:r>
      <w:r>
        <w:t> while upholding judicial independence.</w:t>
      </w:r>
    </w:p>
    <w:p w14:paraId="7E6BF7F2" w14:textId="371DA129" w:rsidR="00FC2C1D" w:rsidRDefault="00FC2C1D" w:rsidP="00FC2C1D">
      <w:pPr>
        <w:pStyle w:val="Heading3"/>
      </w:pPr>
      <w:r>
        <w:t>The Role of the Third Sector</w:t>
      </w:r>
    </w:p>
    <w:p w14:paraId="0F13FE12" w14:textId="77777777" w:rsidR="00FC2C1D" w:rsidRPr="00623EE6" w:rsidRDefault="00FC2C1D" w:rsidP="00FC2C1D">
      <w:pPr>
        <w:rPr>
          <w:color w:val="auto"/>
        </w:rPr>
      </w:pPr>
      <w:r>
        <w:t>Third-sector organisations remain </w:t>
      </w:r>
      <w:r>
        <w:rPr>
          <w:rStyle w:val="Strong"/>
        </w:rPr>
        <w:t>crucial partners</w:t>
      </w:r>
      <w:r>
        <w:t xml:space="preserve"> in supporting community justice efforts. </w:t>
      </w:r>
      <w:r w:rsidRPr="00623EE6">
        <w:rPr>
          <w:color w:val="auto"/>
        </w:rPr>
        <w:t xml:space="preserve">The following organisations were specifically mentioned by local partnerships in relation to this priority action: Access to Industry, Addictions Support </w:t>
      </w:r>
      <w:r w:rsidRPr="00623EE6">
        <w:rPr>
          <w:color w:val="auto"/>
        </w:rPr>
        <w:lastRenderedPageBreak/>
        <w:t>and Counselling (ASC), Advance-D Programme, Apex Scotland, Alcohol and Drugs Action, Ayrshire Council on Alcohol, Beecraigs Country Park, BOUND, CHAP (Community Housing Advocacy Project), Change Grow Live, Chrysalis Project, Citizens Advice Bureau (CAB), Circle, Creative Change Collective, Cree Studio, Cyrenians, Drug, Alcohol and Psychotherapies Limited (DAPL), Edinburgh Community Food (ECF), Families Outside, Grace Chocolates, Greener Kirkcaldy, Lanarkshire Recovery Community, Learning Link, Lemon Aid, Libertie Project, Lochore Meadows Country Park, Money Matters, Moray Pathways, Moray Wellbeing Hub, Multiply Programme, North Lanarkshire Housing Solutions, Orkney Blide Trust, Orkney Drugs and Alcohol Team (ODAT), PEAR (Prevention, Early Intervention and Recovery Service, Perth &amp; Kinross Fly-Tipping Partnership, Recovery Scotland, Resilience Learning Partnership, Riverkids West Lothian Toy Appeal, SAM’s Fife, SAMH (Scottish Association for Mental Health), Safe &amp; Together, Sacro, School Bank, Scottish Deer Centre, Scottish Families Affected by Alcohol and Drugs (SFAAD), Summerhill Community Centre, Tayside Council on Alcohol (TCA), Ten for Zen, Tomorrow’s Women, Wise Group, Women in Justice Support Group, Women’s Aid and Works+.</w:t>
      </w:r>
    </w:p>
    <w:p w14:paraId="6C3785E4" w14:textId="77777777" w:rsidR="00CE1B48" w:rsidRPr="00623EE6" w:rsidRDefault="00CE1B48">
      <w:pPr>
        <w:spacing w:line="240" w:lineRule="auto"/>
        <w:rPr>
          <w:rFonts w:ascii="Open Sans SemiBold" w:eastAsiaTheme="majorEastAsia" w:hAnsi="Open Sans SemiBold" w:cstheme="majorBidi"/>
          <w:b/>
          <w:color w:val="auto"/>
          <w:szCs w:val="26"/>
        </w:rPr>
      </w:pPr>
      <w:r w:rsidRPr="00623EE6">
        <w:rPr>
          <w:color w:val="auto"/>
        </w:rPr>
        <w:br w:type="page"/>
      </w:r>
    </w:p>
    <w:p w14:paraId="2B8A8C91" w14:textId="5963FEEC" w:rsidR="007458E1" w:rsidRPr="00623EE6" w:rsidRDefault="00432157" w:rsidP="003F3086">
      <w:pPr>
        <w:pStyle w:val="Heading2"/>
        <w:rPr>
          <w:lang w:val="en-GB"/>
        </w:rPr>
      </w:pPr>
      <w:bookmarkStart w:id="18" w:name="_Toc193901792"/>
      <w:r w:rsidRPr="00623EE6">
        <w:rPr>
          <w:lang w:val="en-GB"/>
        </w:rPr>
        <w:lastRenderedPageBreak/>
        <w:t>Priority Action 6:</w:t>
      </w:r>
      <w:r w:rsidR="00AA092C" w:rsidRPr="00623EE6">
        <w:rPr>
          <w:lang w:val="en-GB"/>
        </w:rPr>
        <w:t xml:space="preserve"> </w:t>
      </w:r>
      <w:r w:rsidRPr="00623EE6">
        <w:rPr>
          <w:lang w:val="en-GB"/>
        </w:rPr>
        <w:t>Ensure restorative justice is available across Scotland to all those who wish to access it by promoting and supporting the appropriate and safe provision of available services</w:t>
      </w:r>
      <w:bookmarkEnd w:id="18"/>
    </w:p>
    <w:p w14:paraId="75FA979E" w14:textId="45F8DE22" w:rsidR="00FF7695" w:rsidRPr="00623EE6" w:rsidRDefault="00FF7695" w:rsidP="00FF7695">
      <w:pPr>
        <w:rPr>
          <w:b/>
          <w:bCs/>
        </w:rPr>
      </w:pPr>
      <w:r w:rsidRPr="00623EE6">
        <w:rPr>
          <w:b/>
          <w:bCs/>
        </w:rPr>
        <w:t>Performance</w:t>
      </w:r>
    </w:p>
    <w:p w14:paraId="1EF18960" w14:textId="13AB8F70" w:rsidR="00FF7695" w:rsidRPr="00623EE6" w:rsidRDefault="00FF7695" w:rsidP="00FF7695">
      <w:r w:rsidRPr="00623EE6">
        <w:t>There is currently no nationally determined outcome or indicator for this priority action.</w:t>
      </w:r>
    </w:p>
    <w:p w14:paraId="7AD64D9F" w14:textId="77777777" w:rsidR="004D1F7D" w:rsidRPr="00623EE6" w:rsidRDefault="004D1F7D" w:rsidP="004D1F7D">
      <w:pPr>
        <w:pStyle w:val="Heading3"/>
      </w:pPr>
      <w:r w:rsidRPr="00623EE6">
        <w:t>Wider evidence</w:t>
      </w:r>
    </w:p>
    <w:p w14:paraId="0A6CB8E3" w14:textId="77777777" w:rsidR="004D1F7D" w:rsidRPr="00623EE6" w:rsidRDefault="004D1F7D" w:rsidP="004D1F7D">
      <w:pPr>
        <w:rPr>
          <w:color w:val="auto"/>
        </w:rPr>
      </w:pPr>
      <w:r w:rsidRPr="00623EE6">
        <w:rPr>
          <w:color w:val="auto"/>
        </w:rPr>
        <w:t xml:space="preserve">CJS and CYCJ both receive funding from the Scottish Government to work in collaboration with stakeholders in the advancement of </w:t>
      </w:r>
      <w:r w:rsidRPr="00715F99">
        <w:rPr>
          <w:color w:val="auto"/>
        </w:rPr>
        <w:t>the</w:t>
      </w:r>
      <w:r w:rsidRPr="004D1F7D">
        <w:rPr>
          <w:b/>
          <w:bCs/>
          <w:color w:val="auto"/>
        </w:rPr>
        <w:t xml:space="preserve"> </w:t>
      </w:r>
      <w:hyperlink r:id="rId43" w:history="1">
        <w:r w:rsidRPr="004D1F7D">
          <w:rPr>
            <w:rStyle w:val="Hyperlink"/>
            <w:b/>
            <w:bCs/>
            <w:color w:val="auto"/>
          </w:rPr>
          <w:t>three outcomes</w:t>
        </w:r>
      </w:hyperlink>
      <w:r w:rsidRPr="00623EE6">
        <w:rPr>
          <w:color w:val="auto"/>
        </w:rPr>
        <w:t xml:space="preserve"> within the Restorative Justice Action Plan:</w:t>
      </w:r>
    </w:p>
    <w:p w14:paraId="07FD9424" w14:textId="77777777" w:rsidR="004D1F7D" w:rsidRPr="00623EE6" w:rsidRDefault="004D1F7D" w:rsidP="004D1F7D">
      <w:pPr>
        <w:pStyle w:val="ListParagraph"/>
        <w:numPr>
          <w:ilvl w:val="0"/>
          <w:numId w:val="4"/>
        </w:numPr>
        <w:rPr>
          <w:color w:val="auto"/>
        </w:rPr>
      </w:pPr>
      <w:r w:rsidRPr="00623EE6">
        <w:rPr>
          <w:color w:val="auto"/>
        </w:rPr>
        <w:t>Restorative justice is available across Scotland.</w:t>
      </w:r>
    </w:p>
    <w:p w14:paraId="2628DAFB" w14:textId="77777777" w:rsidR="004D1F7D" w:rsidRPr="00623EE6" w:rsidRDefault="004D1F7D" w:rsidP="004D1F7D">
      <w:pPr>
        <w:pStyle w:val="ListParagraph"/>
        <w:numPr>
          <w:ilvl w:val="0"/>
          <w:numId w:val="4"/>
        </w:numPr>
        <w:rPr>
          <w:color w:val="auto"/>
        </w:rPr>
      </w:pPr>
      <w:r w:rsidRPr="00623EE6">
        <w:rPr>
          <w:color w:val="auto"/>
        </w:rPr>
        <w:t>High-quality restorative justice services are delivered by trained facilitators.</w:t>
      </w:r>
    </w:p>
    <w:p w14:paraId="0865A7FA" w14:textId="77777777" w:rsidR="004D1F7D" w:rsidRPr="00623EE6" w:rsidRDefault="004D1F7D" w:rsidP="004D1F7D">
      <w:pPr>
        <w:pStyle w:val="ListParagraph"/>
        <w:numPr>
          <w:ilvl w:val="0"/>
          <w:numId w:val="4"/>
        </w:numPr>
        <w:rPr>
          <w:color w:val="auto"/>
        </w:rPr>
      </w:pPr>
      <w:r w:rsidRPr="00623EE6">
        <w:rPr>
          <w:color w:val="auto"/>
        </w:rPr>
        <w:t>There is a strong public awareness and understanding of restorative justice in Scotland.</w:t>
      </w:r>
    </w:p>
    <w:p w14:paraId="3EE9DEAA" w14:textId="77777777" w:rsidR="004D1F7D" w:rsidRPr="00623EE6" w:rsidRDefault="004D1F7D" w:rsidP="004D1F7D">
      <w:pPr>
        <w:ind w:left="360"/>
        <w:rPr>
          <w:color w:val="auto"/>
        </w:rPr>
      </w:pPr>
      <w:r w:rsidRPr="00623EE6">
        <w:rPr>
          <w:color w:val="auto"/>
        </w:rPr>
        <w:t>Quarterly progress reports are available on the CJS website and an annual report on 2023-24 will be published shortly.</w:t>
      </w:r>
    </w:p>
    <w:p w14:paraId="2D0FE61E" w14:textId="77777777" w:rsidR="004D1F7D" w:rsidRDefault="004D1F7D" w:rsidP="004D1F7D">
      <w:pPr>
        <w:ind w:left="360"/>
        <w:rPr>
          <w:color w:val="auto"/>
        </w:rPr>
      </w:pPr>
      <w:r w:rsidRPr="00623EE6">
        <w:rPr>
          <w:color w:val="auto"/>
        </w:rPr>
        <w:t xml:space="preserve">At a local level, restorative justice activity remains </w:t>
      </w:r>
      <w:r>
        <w:rPr>
          <w:color w:val="auto"/>
        </w:rPr>
        <w:t>relatively low level</w:t>
      </w:r>
      <w:r w:rsidRPr="00623EE6">
        <w:rPr>
          <w:color w:val="auto"/>
        </w:rPr>
        <w:t xml:space="preserve">, with limited service provision </w:t>
      </w:r>
      <w:r>
        <w:rPr>
          <w:color w:val="auto"/>
        </w:rPr>
        <w:t xml:space="preserve">in few areas. </w:t>
      </w:r>
    </w:p>
    <w:p w14:paraId="55FBD5E1" w14:textId="77777777" w:rsidR="004D1F7D" w:rsidRDefault="004D1F7D" w:rsidP="004D1F7D">
      <w:pPr>
        <w:ind w:left="360"/>
        <w:rPr>
          <w:color w:val="auto"/>
        </w:rPr>
      </w:pPr>
      <w:r w:rsidRPr="00623EE6">
        <w:rPr>
          <w:color w:val="auto"/>
        </w:rPr>
        <w:t>Some areas noted local service provision</w:t>
      </w:r>
      <w:r>
        <w:rPr>
          <w:color w:val="auto"/>
        </w:rPr>
        <w:t>;</w:t>
      </w:r>
    </w:p>
    <w:p w14:paraId="3948EF6E" w14:textId="243690AE" w:rsidR="004D1F7D" w:rsidRPr="004D1F7D" w:rsidRDefault="004D1F7D" w:rsidP="001223CA">
      <w:pPr>
        <w:pStyle w:val="ListParagraph"/>
        <w:numPr>
          <w:ilvl w:val="0"/>
          <w:numId w:val="51"/>
        </w:numPr>
        <w:rPr>
          <w:color w:val="auto"/>
        </w:rPr>
      </w:pPr>
      <w:r w:rsidRPr="004D1F7D">
        <w:rPr>
          <w:color w:val="auto"/>
        </w:rPr>
        <w:t xml:space="preserve"> </w:t>
      </w:r>
      <w:r w:rsidR="0075069C">
        <w:rPr>
          <w:color w:val="auto"/>
        </w:rPr>
        <w:t>M</w:t>
      </w:r>
      <w:r w:rsidRPr="004D1F7D">
        <w:rPr>
          <w:color w:val="auto"/>
        </w:rPr>
        <w:t>ost frequently for children and young people,</w:t>
      </w:r>
    </w:p>
    <w:p w14:paraId="3E162EDF" w14:textId="665CCF55" w:rsidR="004D1F7D" w:rsidRPr="004D1F7D" w:rsidRDefault="004D1F7D" w:rsidP="001223CA">
      <w:pPr>
        <w:pStyle w:val="ListParagraph"/>
        <w:numPr>
          <w:ilvl w:val="0"/>
          <w:numId w:val="51"/>
        </w:numPr>
        <w:rPr>
          <w:color w:val="auto"/>
        </w:rPr>
      </w:pPr>
      <w:r w:rsidRPr="004D1F7D">
        <w:rPr>
          <w:color w:val="auto"/>
        </w:rPr>
        <w:t xml:space="preserve"> </w:t>
      </w:r>
      <w:r w:rsidR="0075069C">
        <w:rPr>
          <w:color w:val="auto"/>
        </w:rPr>
        <w:t>L</w:t>
      </w:r>
      <w:r w:rsidRPr="004D1F7D">
        <w:rPr>
          <w:color w:val="auto"/>
        </w:rPr>
        <w:t xml:space="preserve">imited connection to the adult justice system. </w:t>
      </w:r>
    </w:p>
    <w:p w14:paraId="7410E7AB" w14:textId="77777777" w:rsidR="004D1F7D" w:rsidRPr="00623EE6" w:rsidRDefault="004D1F7D" w:rsidP="004D1F7D">
      <w:pPr>
        <w:ind w:left="360"/>
        <w:rPr>
          <w:color w:val="auto"/>
        </w:rPr>
      </w:pPr>
      <w:r w:rsidRPr="00623EE6">
        <w:rPr>
          <w:color w:val="auto"/>
        </w:rPr>
        <w:t xml:space="preserve">Some described activity connected to the scope of community justice, </w:t>
      </w:r>
      <w:r>
        <w:rPr>
          <w:color w:val="auto"/>
        </w:rPr>
        <w:t>b</w:t>
      </w:r>
      <w:r w:rsidRPr="00623EE6">
        <w:rPr>
          <w:color w:val="auto"/>
        </w:rPr>
        <w:t xml:space="preserve">ut only one area described delivery of restorative practice interventions for </w:t>
      </w:r>
      <w:r>
        <w:rPr>
          <w:color w:val="auto"/>
        </w:rPr>
        <w:t>adults</w:t>
      </w:r>
      <w:r w:rsidRPr="00623EE6">
        <w:rPr>
          <w:color w:val="auto"/>
        </w:rPr>
        <w:t xml:space="preserve"> responsible for and harmed by offending. </w:t>
      </w:r>
    </w:p>
    <w:p w14:paraId="47946FF9" w14:textId="77777777" w:rsidR="004D1F7D" w:rsidRPr="00623EE6" w:rsidRDefault="004D1F7D" w:rsidP="004D1F7D">
      <w:pPr>
        <w:ind w:left="360"/>
        <w:rPr>
          <w:color w:val="auto"/>
        </w:rPr>
      </w:pPr>
      <w:r>
        <w:rPr>
          <w:color w:val="auto"/>
        </w:rPr>
        <w:t>Where it is underway, m</w:t>
      </w:r>
      <w:r w:rsidRPr="00623EE6">
        <w:rPr>
          <w:color w:val="auto"/>
        </w:rPr>
        <w:t xml:space="preserve">uch of the community justice-linked restorative justice development in local areas is at an early stage and focused on increasing awareness and understanding, accessing training, and prioritising and identifying next steps. Engagement with third sector providers was evident, and included organisations such as Thriving Survivors, Includem, Space2Face, Victim Support Scotland and Sacro. Many local areas noted that they are enthusiastic about the potential use of restorative justice in community justice, but further development is required. Areas are clearly maintaining an awareness of national developments with many taking advantage of nationally provided opportunities to engage. </w:t>
      </w:r>
    </w:p>
    <w:p w14:paraId="2498902E" w14:textId="77777777" w:rsidR="004D1F7D" w:rsidRPr="00623EE6" w:rsidRDefault="004D1F7D" w:rsidP="004D1F7D">
      <w:pPr>
        <w:ind w:left="360"/>
        <w:rPr>
          <w:color w:val="auto"/>
        </w:rPr>
      </w:pPr>
      <w:r w:rsidRPr="00623EE6">
        <w:rPr>
          <w:color w:val="auto"/>
        </w:rPr>
        <w:t xml:space="preserve">Local enthusiasm for the potential of restorative justice is caveated with concerns about resource for sustainable training, delivery and support for those </w:t>
      </w:r>
      <w:r w:rsidRPr="00623EE6">
        <w:rPr>
          <w:color w:val="auto"/>
        </w:rPr>
        <w:lastRenderedPageBreak/>
        <w:t>involved. Some areas highlighted the difficulty of delivering restorative justice for particular crime types such as domestic abuse and sexual offending. Local areas signalled that their ability to develop restorative justice hinged on the availability of resource and clarity from national developments in policy and guidance.</w:t>
      </w:r>
    </w:p>
    <w:p w14:paraId="3FA9E0B3" w14:textId="7714D43C" w:rsidR="00A657F8" w:rsidRPr="00623EE6" w:rsidRDefault="0010204F" w:rsidP="0010204F">
      <w:pPr>
        <w:spacing w:line="240" w:lineRule="auto"/>
        <w:rPr>
          <w:color w:val="auto"/>
        </w:rPr>
      </w:pPr>
      <w:r w:rsidRPr="00623EE6">
        <w:rPr>
          <w:color w:val="auto"/>
        </w:rPr>
        <w:br w:type="page"/>
      </w:r>
    </w:p>
    <w:p w14:paraId="13ADF0A5" w14:textId="247DED5E" w:rsidR="00B929DE" w:rsidRPr="00623EE6" w:rsidRDefault="008A3735" w:rsidP="00B456C1">
      <w:pPr>
        <w:pStyle w:val="Heading1"/>
      </w:pPr>
      <w:bookmarkStart w:id="19" w:name="_Toc193901793"/>
      <w:r w:rsidRPr="00623EE6">
        <w:lastRenderedPageBreak/>
        <w:t>National Aim 3. Ensure that services are accessible and available to address the needs of individuals accused or convicted of an offence</w:t>
      </w:r>
      <w:bookmarkEnd w:id="19"/>
    </w:p>
    <w:p w14:paraId="79B4FB3F" w14:textId="68B7CAB8" w:rsidR="00FB59CD" w:rsidRPr="00623EE6" w:rsidRDefault="009E0504" w:rsidP="003F3086">
      <w:pPr>
        <w:pStyle w:val="Heading2"/>
        <w:rPr>
          <w:lang w:val="en-GB"/>
        </w:rPr>
      </w:pPr>
      <w:bookmarkStart w:id="20" w:name="_Toc193901794"/>
      <w:r w:rsidRPr="00623EE6">
        <w:rPr>
          <w:lang w:val="en-GB"/>
        </w:rPr>
        <w:t>Priority Action 7: Enhance individuals’ access to health and social care and continuity of care following release from prison by improving the sharing of information and partnership</w:t>
      </w:r>
      <w:r w:rsidR="000F3AA5" w:rsidRPr="00623EE6">
        <w:rPr>
          <w:lang w:val="en-GB"/>
        </w:rPr>
        <w:t xml:space="preserve"> </w:t>
      </w:r>
      <w:r w:rsidRPr="00623EE6">
        <w:rPr>
          <w:lang w:val="en-GB"/>
        </w:rPr>
        <w:t>working between relevant partners</w:t>
      </w:r>
      <w:bookmarkEnd w:id="20"/>
    </w:p>
    <w:p w14:paraId="6929CE12" w14:textId="77777777" w:rsidR="00BA18BE" w:rsidRPr="00623EE6" w:rsidRDefault="00BA18BE" w:rsidP="00BA18BE">
      <w:pPr>
        <w:pStyle w:val="Heading3"/>
      </w:pPr>
      <w:r w:rsidRPr="00623EE6">
        <w:t>Performance</w:t>
      </w:r>
    </w:p>
    <w:p w14:paraId="03D37A82" w14:textId="77777777" w:rsidR="00BA18BE" w:rsidRPr="00623EE6" w:rsidRDefault="00BA18BE" w:rsidP="00BA18BE">
      <w:pPr>
        <w:rPr>
          <w:color w:val="auto"/>
        </w:rPr>
      </w:pPr>
      <w:r w:rsidRPr="00623EE6">
        <w:rPr>
          <w:b/>
          <w:bCs/>
          <w:color w:val="auto"/>
        </w:rPr>
        <w:t>National outcome:</w:t>
      </w:r>
      <w:r w:rsidRPr="00623EE6">
        <w:rPr>
          <w:color w:val="auto"/>
        </w:rPr>
        <w:t xml:space="preserve"> </w:t>
      </w:r>
    </w:p>
    <w:p w14:paraId="630F8B44" w14:textId="77777777" w:rsidR="00BA18BE" w:rsidRPr="00623EE6" w:rsidRDefault="00BA18BE" w:rsidP="00BA18BE">
      <w:pPr>
        <w:rPr>
          <w:color w:val="auto"/>
        </w:rPr>
      </w:pPr>
      <w:r w:rsidRPr="00623EE6">
        <w:rPr>
          <w:color w:val="auto"/>
        </w:rPr>
        <w:t>More people have access to, and continuity of, health and social care following release from a prison sentence</w:t>
      </w:r>
    </w:p>
    <w:p w14:paraId="665E98D3" w14:textId="77777777" w:rsidR="00BA18BE" w:rsidRPr="00623EE6" w:rsidRDefault="00BA18BE" w:rsidP="00BA18BE">
      <w:pPr>
        <w:rPr>
          <w:color w:val="auto"/>
        </w:rPr>
      </w:pPr>
      <w:r w:rsidRPr="00623EE6">
        <w:rPr>
          <w:b/>
          <w:bCs/>
          <w:color w:val="auto"/>
        </w:rPr>
        <w:t>National indicator</w:t>
      </w:r>
      <w:r w:rsidRPr="00623EE6">
        <w:rPr>
          <w:color w:val="auto"/>
        </w:rPr>
        <w:t>:</w:t>
      </w:r>
    </w:p>
    <w:p w14:paraId="5619D0C9" w14:textId="77777777" w:rsidR="00BA18BE" w:rsidRPr="00623EE6" w:rsidRDefault="00BA18BE" w:rsidP="00BA18BE">
      <w:pPr>
        <w:pStyle w:val="ListParagraph"/>
        <w:numPr>
          <w:ilvl w:val="1"/>
          <w:numId w:val="63"/>
        </w:numPr>
        <w:rPr>
          <w:color w:val="auto"/>
        </w:rPr>
      </w:pPr>
      <w:r w:rsidRPr="00623EE6">
        <w:rPr>
          <w:color w:val="auto"/>
        </w:rPr>
        <w:t>number of transfers in drug/alcohol treatments from custody to community</w:t>
      </w:r>
    </w:p>
    <w:p w14:paraId="376B8BB5" w14:textId="77777777" w:rsidR="00BA18BE" w:rsidRPr="00623EE6" w:rsidRDefault="00BA18BE" w:rsidP="00BA18BE">
      <w:pPr>
        <w:rPr>
          <w:color w:val="auto"/>
        </w:rPr>
      </w:pPr>
      <w:r w:rsidRPr="00623EE6">
        <w:rPr>
          <w:color w:val="auto"/>
        </w:rPr>
        <w:t>In 2021-22, 859 people received continuity of care after liberation from prison, 844 in 2022-23 and 971 in 2023-24.</w:t>
      </w:r>
      <w:r w:rsidRPr="00623EE6">
        <w:rPr>
          <w:rStyle w:val="FootnoteReference"/>
          <w:color w:val="auto"/>
        </w:rPr>
        <w:footnoteReference w:id="39"/>
      </w:r>
      <w:r w:rsidRPr="00623EE6">
        <w:rPr>
          <w:color w:val="auto"/>
        </w:rPr>
        <w:t xml:space="preserve"> The baseline year for this indicator is 2021-22, the first year for which data is available.</w:t>
      </w:r>
    </w:p>
    <w:p w14:paraId="33DB6CAE" w14:textId="77777777" w:rsidR="00BA18BE" w:rsidRPr="00623EE6" w:rsidRDefault="00BA18BE" w:rsidP="00BA18BE">
      <w:pPr>
        <w:rPr>
          <w:lang w:eastAsia="en-GB"/>
        </w:rPr>
      </w:pPr>
      <w:r w:rsidRPr="00623EE6">
        <w:rPr>
          <w:color w:val="auto"/>
          <w:lang w:eastAsia="en-GB"/>
        </w:rPr>
        <w:t xml:space="preserve">For more information about the indicator see </w:t>
      </w:r>
      <w:hyperlink r:id="rId44" w:history="1">
        <w:r w:rsidRPr="00623EE6">
          <w:rPr>
            <w:rStyle w:val="Hyperlink"/>
            <w:lang w:eastAsia="en-GB"/>
          </w:rPr>
          <w:t>Community Justice Performance Framework: guidance and technical notes, version 2</w:t>
        </w:r>
      </w:hyperlink>
      <w:r w:rsidRPr="00623EE6">
        <w:t>.</w:t>
      </w:r>
    </w:p>
    <w:p w14:paraId="03E52575" w14:textId="77777777" w:rsidR="00BA18BE" w:rsidRPr="00623EE6" w:rsidRDefault="00BA18BE" w:rsidP="00BA18BE">
      <w:pPr>
        <w:pStyle w:val="Heading3"/>
      </w:pPr>
      <w:r w:rsidRPr="00623EE6">
        <w:t>Wider evidence</w:t>
      </w:r>
    </w:p>
    <w:p w14:paraId="488F8654" w14:textId="3C91E414" w:rsidR="00BA18BE" w:rsidRPr="00623EE6" w:rsidRDefault="00BA18BE" w:rsidP="00BA18BE">
      <w:pPr>
        <w:rPr>
          <w:color w:val="auto"/>
        </w:rPr>
      </w:pPr>
      <w:r w:rsidRPr="00623EE6">
        <w:rPr>
          <w:color w:val="auto"/>
        </w:rPr>
        <w:t>A strategic group, Healthcare in Prison Custody Network, continues to oversee national developments.</w:t>
      </w:r>
      <w:r>
        <w:rPr>
          <w:color w:val="auto"/>
        </w:rPr>
        <w:t xml:space="preserve"> However, </w:t>
      </w:r>
      <w:r w:rsidR="00F119D4">
        <w:rPr>
          <w:color w:val="auto"/>
        </w:rPr>
        <w:t>p</w:t>
      </w:r>
      <w:r w:rsidRPr="00623EE6">
        <w:rPr>
          <w:color w:val="auto"/>
        </w:rPr>
        <w:t>re-registration with GPs prior to liberation remains an enduring structural problem.</w:t>
      </w:r>
    </w:p>
    <w:p w14:paraId="4521271F" w14:textId="77777777" w:rsidR="00BA18BE" w:rsidRPr="00623EE6" w:rsidRDefault="00BA18BE" w:rsidP="00BA18BE">
      <w:pPr>
        <w:rPr>
          <w:color w:val="auto"/>
        </w:rPr>
      </w:pPr>
      <w:r w:rsidRPr="00623EE6">
        <w:rPr>
          <w:color w:val="auto"/>
        </w:rPr>
        <w:t xml:space="preserve">It is now a requirement for NHS boards/HSCPs to have an identified executive lead for healthcare in justice in their annual delivery plans. </w:t>
      </w:r>
    </w:p>
    <w:p w14:paraId="23E6AB9A" w14:textId="08F75CFA" w:rsidR="00BA18BE" w:rsidRPr="00623EE6" w:rsidRDefault="00BA18BE" w:rsidP="00BA18BE">
      <w:pPr>
        <w:rPr>
          <w:color w:val="auto"/>
        </w:rPr>
      </w:pPr>
      <w:r w:rsidRPr="00623EE6">
        <w:rPr>
          <w:color w:val="auto"/>
        </w:rPr>
        <w:t>Since the reporting year, H</w:t>
      </w:r>
      <w:r w:rsidR="00071566">
        <w:rPr>
          <w:color w:val="auto"/>
        </w:rPr>
        <w:t>ealth Improvement Scotland</w:t>
      </w:r>
      <w:r w:rsidRPr="00623EE6">
        <w:rPr>
          <w:color w:val="auto"/>
        </w:rPr>
        <w:t xml:space="preserve"> has published its </w:t>
      </w:r>
      <w:hyperlink r:id="rId45" w:history="1">
        <w:r w:rsidRPr="00623EE6">
          <w:rPr>
            <w:rStyle w:val="Hyperlink"/>
            <w:color w:val="auto"/>
          </w:rPr>
          <w:t>Healthcare Within Justice Strategy 2024-2027</w:t>
        </w:r>
      </w:hyperlink>
      <w:r w:rsidRPr="00623EE6">
        <w:rPr>
          <w:color w:val="auto"/>
        </w:rPr>
        <w:t>.</w:t>
      </w:r>
    </w:p>
    <w:p w14:paraId="6351F687" w14:textId="77777777" w:rsidR="00BA18BE" w:rsidRPr="00623EE6" w:rsidRDefault="00BA18BE" w:rsidP="00BA18BE">
      <w:pPr>
        <w:rPr>
          <w:color w:val="auto"/>
        </w:rPr>
      </w:pPr>
      <w:r w:rsidRPr="00623EE6">
        <w:rPr>
          <w:color w:val="auto"/>
        </w:rPr>
        <w:t>This outcome directly links to MAT standard 5.</w:t>
      </w:r>
    </w:p>
    <w:p w14:paraId="02E6774F" w14:textId="133017D1" w:rsidR="00BA18BE" w:rsidRDefault="00BA18BE" w:rsidP="00BA18BE">
      <w:pPr>
        <w:ind w:left="720"/>
        <w:rPr>
          <w:color w:val="auto"/>
        </w:rPr>
      </w:pPr>
      <w:r w:rsidRPr="00623EE6">
        <w:rPr>
          <w:color w:val="auto"/>
        </w:rPr>
        <w:lastRenderedPageBreak/>
        <w:t>‘All people will receive support to remain in treatment for as long as requested. A person is given support to stay in treatment for as long as they like and at key transition times such as leaving hospital or prison. People are not put out of treatment. There should be no unplanned discharges. When people do wish to leave treatment they can discuss this with the service, and the service will provide support to ensure people leave treatment safely. Treatment services value the treatment they provide to all the people who are in their care. People will be supported to stay in treatment especially at times when things are difficult for them.’.</w:t>
      </w:r>
    </w:p>
    <w:p w14:paraId="5E7BC147" w14:textId="77777777" w:rsidR="00BA18BE" w:rsidRPr="00623EE6" w:rsidRDefault="00BA18BE" w:rsidP="00BA18BE">
      <w:pPr>
        <w:rPr>
          <w:color w:val="auto"/>
        </w:rPr>
      </w:pPr>
      <w:r w:rsidRPr="00623EE6">
        <w:rPr>
          <w:color w:val="auto"/>
        </w:rPr>
        <w:t xml:space="preserve">The national benchmarking report on the </w:t>
      </w:r>
      <w:r w:rsidRPr="00BA18BE">
        <w:rPr>
          <w:b/>
          <w:bCs/>
          <w:color w:val="auto"/>
        </w:rPr>
        <w:t>implementation of MAT standards</w:t>
      </w:r>
      <w:r w:rsidRPr="00623EE6">
        <w:rPr>
          <w:color w:val="auto"/>
        </w:rPr>
        <w:t xml:space="preserve"> provides the following valuable insights:</w:t>
      </w:r>
      <w:r w:rsidRPr="00623EE6">
        <w:rPr>
          <w:rStyle w:val="FootnoteReference"/>
          <w:color w:val="auto"/>
        </w:rPr>
        <w:t xml:space="preserve"> </w:t>
      </w:r>
      <w:r w:rsidRPr="00623EE6">
        <w:rPr>
          <w:rStyle w:val="FootnoteReference"/>
          <w:color w:val="auto"/>
        </w:rPr>
        <w:footnoteReference w:id="40"/>
      </w:r>
    </w:p>
    <w:p w14:paraId="4CB2A7BF" w14:textId="77777777" w:rsidR="00BA18BE" w:rsidRPr="000B73BF" w:rsidRDefault="00BA18BE" w:rsidP="00BA18BE">
      <w:pPr>
        <w:numPr>
          <w:ilvl w:val="0"/>
          <w:numId w:val="62"/>
        </w:numPr>
        <w:spacing w:before="100" w:beforeAutospacing="1" w:after="100" w:afterAutospacing="1" w:line="240" w:lineRule="auto"/>
        <w:rPr>
          <w:b/>
          <w:bCs/>
        </w:rPr>
      </w:pPr>
      <w:r w:rsidRPr="000B73BF">
        <w:rPr>
          <w:rStyle w:val="Strong"/>
          <w:b w:val="0"/>
          <w:bCs w:val="0"/>
        </w:rPr>
        <w:t>MAT Standard 5 was fully implemented in 27 out of 29 Alcohol and Drug Partnership (ADP) areas</w:t>
      </w:r>
      <w:r w:rsidRPr="000B73BF">
        <w:rPr>
          <w:b/>
          <w:bCs/>
        </w:rPr>
        <w:t>.</w:t>
      </w:r>
    </w:p>
    <w:p w14:paraId="7CDA2AE4" w14:textId="77777777" w:rsidR="00BA18BE" w:rsidRPr="000B73BF" w:rsidRDefault="00BA18BE" w:rsidP="00BA18BE">
      <w:pPr>
        <w:numPr>
          <w:ilvl w:val="0"/>
          <w:numId w:val="62"/>
        </w:numPr>
        <w:spacing w:before="100" w:beforeAutospacing="1" w:after="100" w:afterAutospacing="1" w:line="240" w:lineRule="auto"/>
        <w:rPr>
          <w:b/>
          <w:bCs/>
        </w:rPr>
      </w:pPr>
      <w:r w:rsidRPr="000B73BF">
        <w:rPr>
          <w:rStyle w:val="Strong"/>
          <w:b w:val="0"/>
          <w:bCs w:val="0"/>
        </w:rPr>
        <w:t>28 ADP areas met the benchmark of 75% of individuals retained in treatment for six months</w:t>
      </w:r>
      <w:r w:rsidRPr="000B73BF">
        <w:rPr>
          <w:b/>
          <w:bCs/>
        </w:rPr>
        <w:t>.</w:t>
      </w:r>
    </w:p>
    <w:p w14:paraId="58AC6B3B" w14:textId="77777777" w:rsidR="00BA18BE" w:rsidRDefault="00BA18BE" w:rsidP="00BA18BE">
      <w:pPr>
        <w:numPr>
          <w:ilvl w:val="0"/>
          <w:numId w:val="62"/>
        </w:numPr>
        <w:spacing w:before="100" w:beforeAutospacing="1" w:after="100" w:afterAutospacing="1" w:line="240" w:lineRule="auto"/>
      </w:pPr>
      <w:r>
        <w:t>In </w:t>
      </w:r>
      <w:r w:rsidRPr="000B73BF">
        <w:rPr>
          <w:rStyle w:val="Strong"/>
          <w:b w:val="0"/>
          <w:bCs w:val="0"/>
        </w:rPr>
        <w:t>the Western Isles, retention was below 50% (42.9%)</w:t>
      </w:r>
      <w:r w:rsidRPr="000B73BF">
        <w:rPr>
          <w:b/>
          <w:bCs/>
        </w:rPr>
        <w:t>,</w:t>
      </w:r>
      <w:r>
        <w:t xml:space="preserve"> though data collection methods differed, and small caseload numbers may have influenced this figure.</w:t>
      </w:r>
    </w:p>
    <w:p w14:paraId="758C36E5" w14:textId="1D0A4B3E" w:rsidR="00BA18BE" w:rsidRDefault="00BA18BE" w:rsidP="00BA18BE">
      <w:pPr>
        <w:pStyle w:val="ListParagraph"/>
        <w:numPr>
          <w:ilvl w:val="0"/>
          <w:numId w:val="62"/>
        </w:numPr>
        <w:rPr>
          <w:color w:val="auto"/>
        </w:rPr>
      </w:pPr>
      <w:r w:rsidRPr="000B73BF">
        <w:rPr>
          <w:rStyle w:val="Strong"/>
          <w:b w:val="0"/>
          <w:bCs w:val="0"/>
        </w:rPr>
        <w:t>No significant gender differences</w:t>
      </w:r>
      <w:r>
        <w:t> were observed in treatment retention</w:t>
      </w:r>
      <w:r w:rsidRPr="000B73BF">
        <w:rPr>
          <w:b/>
          <w:bCs/>
        </w:rPr>
        <w:t>: </w:t>
      </w:r>
      <w:r w:rsidRPr="000B73BF">
        <w:rPr>
          <w:rStyle w:val="Strong"/>
          <w:b w:val="0"/>
          <w:bCs w:val="0"/>
        </w:rPr>
        <w:t>89% of women and 87% of men remained in treatment for at least 181 days</w:t>
      </w:r>
      <w:r w:rsidRPr="000B73BF">
        <w:rPr>
          <w:b/>
          <w:bCs/>
        </w:rPr>
        <w:t>.</w:t>
      </w:r>
      <w:r>
        <w:t xml:space="preserve"> However, </w:t>
      </w:r>
      <w:r w:rsidRPr="000B73BF">
        <w:rPr>
          <w:rStyle w:val="Strong"/>
          <w:b w:val="0"/>
          <w:bCs w:val="0"/>
        </w:rPr>
        <w:t>men made up twice the caseload of women</w:t>
      </w:r>
      <w:r>
        <w:t> (14,469 vs. 7,095)</w:t>
      </w:r>
      <w:r w:rsidRPr="00623EE6">
        <w:rPr>
          <w:color w:val="auto"/>
        </w:rPr>
        <w:t xml:space="preserve"> </w:t>
      </w:r>
    </w:p>
    <w:p w14:paraId="1F22D71F" w14:textId="77777777" w:rsidR="00BA18BE" w:rsidRDefault="00BA18BE" w:rsidP="00BA18BE">
      <w:pPr>
        <w:spacing w:before="100" w:beforeAutospacing="1" w:after="100" w:afterAutospacing="1"/>
      </w:pPr>
      <w:r>
        <w:t>A key goal of </w:t>
      </w:r>
      <w:r w:rsidRPr="00BA18BE">
        <w:rPr>
          <w:rStyle w:val="Strong"/>
          <w:b w:val="0"/>
          <w:bCs w:val="0"/>
        </w:rPr>
        <w:t>MAT Standard 5</w:t>
      </w:r>
      <w:r>
        <w:t> is to </w:t>
      </w:r>
      <w:r w:rsidRPr="00BA18BE">
        <w:rPr>
          <w:rStyle w:val="Strong"/>
          <w:b w:val="0"/>
          <w:bCs w:val="0"/>
        </w:rPr>
        <w:t>reduce unplanned discharges</w:t>
      </w:r>
      <w:r w:rsidRPr="00BA18BE">
        <w:rPr>
          <w:b/>
        </w:rPr>
        <w:t>,</w:t>
      </w:r>
      <w:r>
        <w:t xml:space="preserve"> as these can increase the risk of harm if individuals are not adequately supported during transitions from care. However, </w:t>
      </w:r>
      <w:r w:rsidRPr="00BA18BE">
        <w:rPr>
          <w:rStyle w:val="Strong"/>
          <w:b w:val="0"/>
          <w:bCs w:val="0"/>
        </w:rPr>
        <w:t>consistent data collection on discharges remains a challenge</w:t>
      </w:r>
      <w:r>
        <w:t>, making it difficult to assess retention trends comprehensively.</w:t>
      </w:r>
    </w:p>
    <w:p w14:paraId="7A77CCFA" w14:textId="77777777" w:rsidR="00E5083B" w:rsidRDefault="00E5083B">
      <w:pPr>
        <w:spacing w:line="240" w:lineRule="auto"/>
        <w:rPr>
          <w:b/>
          <w:bCs/>
          <w:color w:val="auto"/>
        </w:rPr>
      </w:pPr>
      <w:r>
        <w:rPr>
          <w:b/>
          <w:bCs/>
          <w:color w:val="auto"/>
        </w:rPr>
        <w:br w:type="page"/>
      </w:r>
    </w:p>
    <w:p w14:paraId="16A37158" w14:textId="4457E1A2" w:rsidR="00BA18BE" w:rsidRPr="00BA18BE" w:rsidRDefault="00BA18BE" w:rsidP="00BA18BE">
      <w:pPr>
        <w:pStyle w:val="ListParagraph"/>
        <w:ind w:left="0"/>
        <w:rPr>
          <w:b/>
          <w:bCs/>
          <w:color w:val="auto"/>
        </w:rPr>
      </w:pPr>
      <w:r w:rsidRPr="00BA18BE">
        <w:rPr>
          <w:b/>
          <w:bCs/>
          <w:color w:val="auto"/>
        </w:rPr>
        <w:lastRenderedPageBreak/>
        <w:t>Mental Health and Post Liberation planning.</w:t>
      </w:r>
    </w:p>
    <w:p w14:paraId="173FEF79" w14:textId="2EF53CA0" w:rsidR="00BA18BE" w:rsidRDefault="00BA18BE" w:rsidP="00BA18BE">
      <w:pPr>
        <w:spacing w:before="100" w:beforeAutospacing="1" w:after="100" w:afterAutospacing="1"/>
      </w:pPr>
      <w:r w:rsidRPr="00623EE6">
        <w:rPr>
          <w:color w:val="auto"/>
        </w:rPr>
        <w:t xml:space="preserve">The </w:t>
      </w:r>
      <w:r w:rsidRPr="00BA18BE">
        <w:rPr>
          <w:b/>
          <w:bCs/>
          <w:color w:val="auto"/>
        </w:rPr>
        <w:t>Mental Health Welfare Commission for Scotland</w:t>
      </w:r>
      <w:r w:rsidRPr="00623EE6">
        <w:rPr>
          <w:color w:val="auto"/>
        </w:rPr>
        <w:t xml:space="preserve"> report ‘Mental Health Support in Scotland’s Prisons 2021: under-served and under-resourced’</w:t>
      </w:r>
      <w:r w:rsidRPr="00623EE6">
        <w:rPr>
          <w:rStyle w:val="FootnoteReference"/>
          <w:color w:val="auto"/>
        </w:rPr>
        <w:footnoteReference w:id="41"/>
      </w:r>
      <w:r w:rsidRPr="00623EE6">
        <w:rPr>
          <w:color w:val="auto"/>
        </w:rPr>
        <w:t xml:space="preserve"> made a specific recommendation about liberation planning. ‘Effective, cohesive whole system pathway approach to the liberation planning of sentenced and remand prisoners’.</w:t>
      </w:r>
      <w:r>
        <w:t xml:space="preserve"> While some progress has been made, gaps in post-release healthcare persist.</w:t>
      </w:r>
    </w:p>
    <w:p w14:paraId="0AD2B8C5" w14:textId="77777777" w:rsidR="00BA18BE" w:rsidRDefault="00BA18BE" w:rsidP="00BA18BE">
      <w:pPr>
        <w:spacing w:before="100" w:beforeAutospacing="1" w:after="100" w:afterAutospacing="1"/>
      </w:pPr>
      <w:r>
        <w:t>Many </w:t>
      </w:r>
      <w:r w:rsidRPr="00BA18BE">
        <w:rPr>
          <w:rStyle w:val="Strong"/>
          <w:b w:val="0"/>
          <w:bCs w:val="0"/>
        </w:rPr>
        <w:t>local partnerships have improved access to health and care services post-release</w:t>
      </w:r>
      <w:r>
        <w:t> through </w:t>
      </w:r>
      <w:r>
        <w:rPr>
          <w:rStyle w:val="Strong"/>
        </w:rPr>
        <w:t>pre-release planning and structured pathways</w:t>
      </w:r>
      <w:r>
        <w:t> for healthcare, mental health, and addiction services. However, key challenges remain:</w:t>
      </w:r>
    </w:p>
    <w:p w14:paraId="51071FCD" w14:textId="77777777" w:rsidR="00BA18BE" w:rsidRDefault="00BA18BE" w:rsidP="00BA18BE">
      <w:pPr>
        <w:numPr>
          <w:ilvl w:val="0"/>
          <w:numId w:val="65"/>
        </w:numPr>
        <w:spacing w:before="100" w:beforeAutospacing="1" w:after="100" w:afterAutospacing="1" w:line="240" w:lineRule="auto"/>
      </w:pPr>
      <w:r>
        <w:rPr>
          <w:rStyle w:val="Strong"/>
        </w:rPr>
        <w:t>GP Registration Delays</w:t>
      </w:r>
      <w:r>
        <w:t>: Timely access to primary care remains a significant issue.</w:t>
      </w:r>
    </w:p>
    <w:p w14:paraId="195BEB32" w14:textId="77777777" w:rsidR="00BA18BE" w:rsidRPr="00BA18BE" w:rsidRDefault="00BA18BE" w:rsidP="00BA18BE">
      <w:pPr>
        <w:numPr>
          <w:ilvl w:val="0"/>
          <w:numId w:val="65"/>
        </w:numPr>
        <w:spacing w:before="100" w:beforeAutospacing="1" w:after="100" w:afterAutospacing="1" w:line="240" w:lineRule="auto"/>
      </w:pPr>
      <w:r>
        <w:rPr>
          <w:rStyle w:val="Strong"/>
        </w:rPr>
        <w:t>Inconsistent Mental Health Support</w:t>
      </w:r>
      <w:r>
        <w:t xml:space="preserve">: Many individuals face barriers in accessing continuous mental health care post-release. </w:t>
      </w:r>
    </w:p>
    <w:p w14:paraId="765A89F8" w14:textId="11239B52" w:rsidR="00BA18BE" w:rsidRDefault="00BA18BE" w:rsidP="00BA18BE">
      <w:pPr>
        <w:spacing w:before="100" w:beforeAutospacing="1" w:after="100" w:afterAutospacing="1" w:line="240" w:lineRule="auto"/>
        <w:rPr>
          <w:color w:val="auto"/>
        </w:rPr>
      </w:pPr>
      <w:r w:rsidRPr="00BA18BE">
        <w:rPr>
          <w:color w:val="auto"/>
        </w:rPr>
        <w:t>The associated closure report highlighted some progress, and there are some examples of ways in which local areas are seeking to improve wider support for people liberated from remand. However, the gaps in care highlighted by the commission are particularly challenging over a long period of time</w:t>
      </w:r>
      <w:r>
        <w:rPr>
          <w:color w:val="auto"/>
        </w:rPr>
        <w:t xml:space="preserve"> </w:t>
      </w:r>
      <w:r w:rsidRPr="00BA18BE">
        <w:rPr>
          <w:color w:val="auto"/>
        </w:rPr>
        <w:t>and precede the transfer of health care responsibilities to NHS Scotland.</w:t>
      </w:r>
    </w:p>
    <w:p w14:paraId="0A6BE0C3" w14:textId="77777777" w:rsidR="00BA18BE" w:rsidRPr="00BA18BE" w:rsidRDefault="00BA18BE" w:rsidP="00BA18BE">
      <w:pPr>
        <w:spacing w:before="100" w:beforeAutospacing="1" w:after="100" w:afterAutospacing="1" w:line="240" w:lineRule="auto"/>
        <w:rPr>
          <w:b/>
          <w:bCs/>
        </w:rPr>
      </w:pPr>
      <w:r w:rsidRPr="00BA18BE">
        <w:rPr>
          <w:b/>
          <w:bCs/>
        </w:rPr>
        <w:t>MAT Standards</w:t>
      </w:r>
    </w:p>
    <w:p w14:paraId="1751EAA4" w14:textId="6A888EFC" w:rsidR="00BA18BE" w:rsidRPr="00623EE6" w:rsidRDefault="00BA18BE" w:rsidP="00BA18BE">
      <w:pPr>
        <w:rPr>
          <w:color w:val="auto"/>
        </w:rPr>
      </w:pPr>
      <w:r w:rsidRPr="00623EE6">
        <w:rPr>
          <w:color w:val="auto"/>
        </w:rPr>
        <w:t xml:space="preserve">The introduction and implementation of MAT standards are a key focus, ensuring individuals have access to substance use treatment before and after release. There are challenges with consistency in MAT standards across local areas, and efforts to improve naloxone distribution and harm reduction training have been noted as </w:t>
      </w:r>
      <w:r w:rsidRPr="00BA18BE">
        <w:rPr>
          <w:b/>
          <w:bCs/>
          <w:color w:val="auto"/>
        </w:rPr>
        <w:t>crucial to reducing drug-related deaths</w:t>
      </w:r>
      <w:r w:rsidRPr="00623EE6">
        <w:rPr>
          <w:color w:val="auto"/>
        </w:rPr>
        <w:t>.</w:t>
      </w:r>
    </w:p>
    <w:p w14:paraId="3CA35A5D" w14:textId="77777777" w:rsidR="00BA18BE" w:rsidRDefault="00BA18BE" w:rsidP="00BA18BE">
      <w:pPr>
        <w:rPr>
          <w:color w:val="auto"/>
        </w:rPr>
      </w:pPr>
    </w:p>
    <w:p w14:paraId="41F3E0CF" w14:textId="77777777" w:rsidR="00081945" w:rsidRDefault="00081945" w:rsidP="00BA18BE">
      <w:pPr>
        <w:rPr>
          <w:b/>
          <w:bCs/>
          <w:color w:val="auto"/>
        </w:rPr>
      </w:pPr>
    </w:p>
    <w:p w14:paraId="717A79BC" w14:textId="77777777" w:rsidR="00081945" w:rsidRDefault="00081945" w:rsidP="00BA18BE">
      <w:pPr>
        <w:rPr>
          <w:b/>
          <w:bCs/>
          <w:color w:val="auto"/>
        </w:rPr>
      </w:pPr>
    </w:p>
    <w:p w14:paraId="5E3B1E5A" w14:textId="77777777" w:rsidR="00081945" w:rsidRDefault="00081945" w:rsidP="00BA18BE">
      <w:pPr>
        <w:rPr>
          <w:b/>
          <w:bCs/>
          <w:color w:val="auto"/>
        </w:rPr>
      </w:pPr>
    </w:p>
    <w:p w14:paraId="61CE71E2" w14:textId="029D0E52" w:rsidR="00BA18BE" w:rsidRPr="00BA18BE" w:rsidRDefault="00BA18BE" w:rsidP="00BA18BE">
      <w:pPr>
        <w:rPr>
          <w:b/>
          <w:bCs/>
          <w:color w:val="auto"/>
        </w:rPr>
      </w:pPr>
      <w:r w:rsidRPr="00BA18BE">
        <w:rPr>
          <w:b/>
          <w:bCs/>
          <w:color w:val="auto"/>
        </w:rPr>
        <w:t>Multi Agency Collaboration</w:t>
      </w:r>
    </w:p>
    <w:p w14:paraId="47F3CB9C" w14:textId="77777777" w:rsidR="00BA18BE" w:rsidRDefault="00BA18BE" w:rsidP="00BA18BE">
      <w:pPr>
        <w:spacing w:before="100" w:beforeAutospacing="1" w:after="100" w:afterAutospacing="1"/>
      </w:pPr>
      <w:r>
        <w:lastRenderedPageBreak/>
        <w:t>Collaboration across multiple agencies plays a vital role in ensuring successful reintegration post-release. Many partnerships now </w:t>
      </w:r>
      <w:r>
        <w:rPr>
          <w:rStyle w:val="Strong"/>
        </w:rPr>
        <w:t>facilitate multi-agency reintegration meetings</w:t>
      </w:r>
      <w:r>
        <w:t> to:</w:t>
      </w:r>
    </w:p>
    <w:p w14:paraId="6ED6F7B6" w14:textId="77777777" w:rsidR="00BA18BE" w:rsidRDefault="00BA18BE" w:rsidP="00BA18BE">
      <w:pPr>
        <w:numPr>
          <w:ilvl w:val="0"/>
          <w:numId w:val="64"/>
        </w:numPr>
        <w:spacing w:before="100" w:beforeAutospacing="1" w:after="100" w:afterAutospacing="1" w:line="240" w:lineRule="auto"/>
      </w:pPr>
      <w:r w:rsidRPr="00BA18BE">
        <w:rPr>
          <w:rStyle w:val="Strong"/>
          <w:b w:val="0"/>
          <w:bCs w:val="0"/>
        </w:rPr>
        <w:t>Coordinate post-release support</w:t>
      </w:r>
      <w:r>
        <w:t> and reduce service gaps.</w:t>
      </w:r>
    </w:p>
    <w:p w14:paraId="47E9EB5E" w14:textId="77777777" w:rsidR="00BA18BE" w:rsidRDefault="00BA18BE" w:rsidP="00BA18BE">
      <w:pPr>
        <w:numPr>
          <w:ilvl w:val="0"/>
          <w:numId w:val="64"/>
        </w:numPr>
        <w:spacing w:before="100" w:beforeAutospacing="1" w:after="100" w:afterAutospacing="1" w:line="240" w:lineRule="auto"/>
      </w:pPr>
      <w:r>
        <w:t>Engage partners such as </w:t>
      </w:r>
      <w:r w:rsidRPr="00BA18BE">
        <w:rPr>
          <w:rStyle w:val="Strong"/>
          <w:b w:val="0"/>
          <w:bCs w:val="0"/>
        </w:rPr>
        <w:t>Justice Social Work (JSW), NHS, housing services, police, and third-sector organisations</w:t>
      </w:r>
      <w:r>
        <w:t>.</w:t>
      </w:r>
    </w:p>
    <w:p w14:paraId="13925ABA" w14:textId="0F667128" w:rsidR="00BA18BE" w:rsidRPr="00081945" w:rsidRDefault="00BA18BE" w:rsidP="00081945">
      <w:pPr>
        <w:spacing w:before="100" w:beforeAutospacing="1" w:after="100" w:afterAutospacing="1"/>
      </w:pPr>
      <w:r>
        <w:t>Despite these efforts, </w:t>
      </w:r>
      <w:r>
        <w:rPr>
          <w:rStyle w:val="Strong"/>
        </w:rPr>
        <w:t>challenges remain in maintaining engagement and coordination</w:t>
      </w:r>
      <w:r>
        <w:t>, particularly for individuals released </w:t>
      </w:r>
      <w:r w:rsidRPr="00BA18BE">
        <w:rPr>
          <w:rStyle w:val="Strong"/>
          <w:b w:val="0"/>
          <w:bCs w:val="0"/>
        </w:rPr>
        <w:t>without statutory supervision</w:t>
      </w:r>
      <w:r>
        <w:t>.</w:t>
      </w:r>
    </w:p>
    <w:p w14:paraId="0E7A34BA" w14:textId="4E1231CC" w:rsidR="00BA18BE" w:rsidRPr="00BA18BE" w:rsidRDefault="00BA18BE" w:rsidP="00BA18BE">
      <w:pPr>
        <w:rPr>
          <w:b/>
          <w:bCs/>
          <w:color w:val="auto"/>
        </w:rPr>
      </w:pPr>
      <w:r w:rsidRPr="00BA18BE">
        <w:rPr>
          <w:b/>
          <w:bCs/>
          <w:color w:val="auto"/>
        </w:rPr>
        <w:t>Reintegration Meetings</w:t>
      </w:r>
    </w:p>
    <w:p w14:paraId="01456C43" w14:textId="77777777" w:rsidR="00BA18BE" w:rsidRDefault="00BA18BE" w:rsidP="00BA18BE">
      <w:pPr>
        <w:rPr>
          <w:color w:val="auto"/>
        </w:rPr>
      </w:pPr>
      <w:r w:rsidRPr="00623EE6">
        <w:rPr>
          <w:color w:val="auto"/>
        </w:rPr>
        <w:t xml:space="preserve">There are reintegration meetings occurring inside HMP Kilmarnock and HMP Grampian, and similar arrangements being managed by various local authorities. </w:t>
      </w:r>
      <w:r>
        <w:rPr>
          <w:color w:val="auto"/>
        </w:rPr>
        <w:t>However, a number of risks have been identified:</w:t>
      </w:r>
    </w:p>
    <w:p w14:paraId="5F56EBA7" w14:textId="77777777" w:rsidR="00BA18BE" w:rsidRDefault="00BA18BE" w:rsidP="00BA18BE">
      <w:pPr>
        <w:numPr>
          <w:ilvl w:val="0"/>
          <w:numId w:val="66"/>
        </w:numPr>
        <w:spacing w:before="100" w:beforeAutospacing="1" w:after="100" w:afterAutospacing="1" w:line="240" w:lineRule="auto"/>
      </w:pPr>
      <w:r>
        <w:rPr>
          <w:rStyle w:val="Strong"/>
        </w:rPr>
        <w:t>Duplication of effort</w:t>
      </w:r>
      <w:r>
        <w:t> across different meeting formats.</w:t>
      </w:r>
    </w:p>
    <w:p w14:paraId="249B510B" w14:textId="77777777" w:rsidR="00BA18BE" w:rsidRDefault="00BA18BE" w:rsidP="00BA18BE">
      <w:pPr>
        <w:numPr>
          <w:ilvl w:val="0"/>
          <w:numId w:val="66"/>
        </w:numPr>
        <w:spacing w:before="100" w:beforeAutospacing="1" w:after="100" w:afterAutospacing="1" w:line="240" w:lineRule="auto"/>
      </w:pPr>
      <w:r>
        <w:rPr>
          <w:rStyle w:val="Strong"/>
        </w:rPr>
        <w:t>Competition for limited resources</w:t>
      </w:r>
      <w:r>
        <w:t> among service providers.</w:t>
      </w:r>
    </w:p>
    <w:p w14:paraId="7580DD19" w14:textId="77777777" w:rsidR="00BA18BE" w:rsidRDefault="00BA18BE" w:rsidP="00BA18BE">
      <w:pPr>
        <w:numPr>
          <w:ilvl w:val="0"/>
          <w:numId w:val="66"/>
        </w:numPr>
        <w:spacing w:before="100" w:beforeAutospacing="1" w:after="100" w:afterAutospacing="1" w:line="240" w:lineRule="auto"/>
      </w:pPr>
      <w:r>
        <w:rPr>
          <w:rStyle w:val="Strong"/>
        </w:rPr>
        <w:t>The need for a more coordinated national approach</w:t>
      </w:r>
      <w:r>
        <w:t>, as individuals are often released to local authorities from multiple prison locations.</w:t>
      </w:r>
    </w:p>
    <w:p w14:paraId="6BAEFA92" w14:textId="7B528821" w:rsidR="00BA18BE" w:rsidRDefault="00BA18BE" w:rsidP="00BA18BE">
      <w:pPr>
        <w:rPr>
          <w:color w:val="auto"/>
        </w:rPr>
      </w:pPr>
      <w:r>
        <w:rPr>
          <w:color w:val="auto"/>
        </w:rPr>
        <w:t>T</w:t>
      </w:r>
      <w:r w:rsidRPr="00623EE6">
        <w:rPr>
          <w:color w:val="auto"/>
        </w:rPr>
        <w:t>here is a need to ensure that appropriate service planning is in place for every person liberated.</w:t>
      </w:r>
    </w:p>
    <w:p w14:paraId="32CFA1DC" w14:textId="77777777" w:rsidR="00BA18BE" w:rsidRPr="00BA18BE" w:rsidRDefault="00BA18BE" w:rsidP="00BA18BE">
      <w:pPr>
        <w:rPr>
          <w:b/>
          <w:bCs/>
          <w:color w:val="auto"/>
        </w:rPr>
      </w:pPr>
      <w:r w:rsidRPr="00BA18BE">
        <w:rPr>
          <w:b/>
          <w:bCs/>
          <w:color w:val="auto"/>
        </w:rPr>
        <w:t>Key Workers Roles</w:t>
      </w:r>
    </w:p>
    <w:p w14:paraId="62814146" w14:textId="52BFF24F" w:rsidR="00BA18BE" w:rsidRPr="00623EE6" w:rsidRDefault="00BA18BE" w:rsidP="00BA18BE">
      <w:pPr>
        <w:rPr>
          <w:color w:val="auto"/>
        </w:rPr>
      </w:pPr>
      <w:r w:rsidRPr="00623EE6">
        <w:rPr>
          <w:color w:val="auto"/>
        </w:rPr>
        <w:t>The introduction of key worker resources, such as new throughcare support workers, development workers and advocacy services, has strengthened post-release support. These role</w:t>
      </w:r>
      <w:r>
        <w:rPr>
          <w:color w:val="auto"/>
        </w:rPr>
        <w:t>s</w:t>
      </w:r>
      <w:r w:rsidRPr="00623EE6">
        <w:rPr>
          <w:color w:val="auto"/>
        </w:rPr>
        <w:t xml:space="preserve"> facilitate healthcare access, manage housing needs and co-ordinate community reintegration. There are, however, resource constraints in providing comprehensive individualised support.</w:t>
      </w:r>
    </w:p>
    <w:p w14:paraId="13B1F7CB" w14:textId="77777777" w:rsidR="00BA18BE" w:rsidRDefault="00BA18BE" w:rsidP="00BA18BE">
      <w:pPr>
        <w:rPr>
          <w:color w:val="auto"/>
        </w:rPr>
      </w:pPr>
      <w:r w:rsidRPr="00BA18BE">
        <w:rPr>
          <w:b/>
          <w:bCs/>
          <w:color w:val="auto"/>
        </w:rPr>
        <w:t>Remote and rural areas</w:t>
      </w:r>
      <w:r w:rsidRPr="00623EE6">
        <w:rPr>
          <w:color w:val="auto"/>
        </w:rPr>
        <w:t xml:space="preserve"> </w:t>
      </w:r>
    </w:p>
    <w:p w14:paraId="2D7BE6A9" w14:textId="77777777" w:rsidR="00BA18BE" w:rsidRDefault="00BA18BE" w:rsidP="00BA18BE">
      <w:pPr>
        <w:spacing w:before="100" w:beforeAutospacing="1" w:after="100" w:afterAutospacing="1"/>
      </w:pPr>
      <w:r>
        <w:rPr>
          <w:color w:val="auto"/>
        </w:rPr>
        <w:t xml:space="preserve">Remote areas </w:t>
      </w:r>
      <w:r w:rsidRPr="00623EE6">
        <w:rPr>
          <w:color w:val="auto"/>
        </w:rPr>
        <w:t>report</w:t>
      </w:r>
      <w:r>
        <w:rPr>
          <w:color w:val="auto"/>
        </w:rPr>
        <w:t xml:space="preserve"> unique</w:t>
      </w:r>
      <w:r w:rsidRPr="00623EE6">
        <w:rPr>
          <w:color w:val="auto"/>
        </w:rPr>
        <w:t xml:space="preserve"> difficulties in providing consistent services due to geographic barriers. These challenges affect the ability to ensure equitable services across Scotland, with some areas lacking necessary resources and facing delays in health services.</w:t>
      </w:r>
      <w:r w:rsidRPr="00A312D3">
        <w:t xml:space="preserve"> </w:t>
      </w:r>
    </w:p>
    <w:p w14:paraId="054CB8EA" w14:textId="77777777" w:rsidR="00BA18BE" w:rsidRPr="00BA18BE" w:rsidRDefault="00BA18BE" w:rsidP="00BA18BE">
      <w:pPr>
        <w:numPr>
          <w:ilvl w:val="0"/>
          <w:numId w:val="67"/>
        </w:numPr>
        <w:spacing w:before="100" w:beforeAutospacing="1" w:after="100" w:afterAutospacing="1" w:line="240" w:lineRule="auto"/>
        <w:rPr>
          <w:b/>
        </w:rPr>
      </w:pPr>
      <w:r w:rsidRPr="00BA18BE">
        <w:rPr>
          <w:rStyle w:val="Strong"/>
          <w:b w:val="0"/>
          <w:bCs w:val="0"/>
        </w:rPr>
        <w:t>Geographic isolation and transport issues</w:t>
      </w:r>
      <w:r w:rsidRPr="00BA18BE">
        <w:rPr>
          <w:b/>
        </w:rPr>
        <w:t>.</w:t>
      </w:r>
    </w:p>
    <w:p w14:paraId="6B5EA27A" w14:textId="77777777" w:rsidR="00BA18BE" w:rsidRPr="00BA18BE" w:rsidRDefault="00BA18BE" w:rsidP="00BA18BE">
      <w:pPr>
        <w:numPr>
          <w:ilvl w:val="0"/>
          <w:numId w:val="67"/>
        </w:numPr>
        <w:spacing w:before="100" w:beforeAutospacing="1" w:after="100" w:afterAutospacing="1" w:line="240" w:lineRule="auto"/>
        <w:rPr>
          <w:b/>
        </w:rPr>
      </w:pPr>
      <w:r w:rsidRPr="00BA18BE">
        <w:rPr>
          <w:rStyle w:val="Strong"/>
          <w:b w:val="0"/>
          <w:bCs w:val="0"/>
        </w:rPr>
        <w:t>Limited access to specialist services</w:t>
      </w:r>
      <w:r w:rsidRPr="00BA18BE">
        <w:rPr>
          <w:b/>
        </w:rPr>
        <w:t>.</w:t>
      </w:r>
    </w:p>
    <w:p w14:paraId="288C0860" w14:textId="77777777" w:rsidR="00BA18BE" w:rsidRPr="00BA18BE" w:rsidRDefault="00BA18BE" w:rsidP="00BA18BE">
      <w:pPr>
        <w:numPr>
          <w:ilvl w:val="0"/>
          <w:numId w:val="67"/>
        </w:numPr>
        <w:spacing w:before="100" w:beforeAutospacing="1" w:after="100" w:afterAutospacing="1" w:line="240" w:lineRule="auto"/>
        <w:rPr>
          <w:b/>
        </w:rPr>
      </w:pPr>
      <w:r w:rsidRPr="00BA18BE">
        <w:rPr>
          <w:rStyle w:val="Strong"/>
          <w:b w:val="0"/>
          <w:bCs w:val="0"/>
        </w:rPr>
        <w:t>Delays in accessing mental health and addiction treatment</w:t>
      </w:r>
      <w:r w:rsidRPr="00BA18BE">
        <w:rPr>
          <w:b/>
        </w:rPr>
        <w:t>.</w:t>
      </w:r>
    </w:p>
    <w:p w14:paraId="1F2A0DA3" w14:textId="77777777" w:rsidR="00BA18BE" w:rsidRDefault="00BA18BE" w:rsidP="00BA18BE">
      <w:pPr>
        <w:spacing w:before="100" w:beforeAutospacing="1" w:after="100" w:afterAutospacing="1"/>
      </w:pPr>
      <w:r>
        <w:lastRenderedPageBreak/>
        <w:t>These challenges create </w:t>
      </w:r>
      <w:r>
        <w:rPr>
          <w:rStyle w:val="Strong"/>
        </w:rPr>
        <w:t>inequities in service availability across Scotland</w:t>
      </w:r>
      <w:r>
        <w:t>, requiring </w:t>
      </w:r>
      <w:r w:rsidRPr="00BA18BE">
        <w:rPr>
          <w:rStyle w:val="Strong"/>
          <w:b w:val="0"/>
          <w:bCs w:val="0"/>
        </w:rPr>
        <w:t>targeted interventions</w:t>
      </w:r>
      <w:r>
        <w:t> to address disparities.</w:t>
      </w:r>
    </w:p>
    <w:p w14:paraId="2B59F9FC" w14:textId="77777777" w:rsidR="00BA18BE" w:rsidRPr="00BA18BE" w:rsidRDefault="00BA18BE" w:rsidP="00BA18BE">
      <w:pPr>
        <w:rPr>
          <w:b/>
          <w:bCs/>
          <w:color w:val="auto"/>
        </w:rPr>
      </w:pPr>
      <w:r w:rsidRPr="00BA18BE">
        <w:rPr>
          <w:b/>
          <w:bCs/>
          <w:color w:val="auto"/>
        </w:rPr>
        <w:t>Measuring Outcomes and Future Improvements</w:t>
      </w:r>
    </w:p>
    <w:p w14:paraId="35D8153C" w14:textId="77777777" w:rsidR="00BA18BE" w:rsidRPr="00623EE6" w:rsidRDefault="00BA18BE" w:rsidP="00BA18BE">
      <w:pPr>
        <w:rPr>
          <w:color w:val="auto"/>
        </w:rPr>
      </w:pPr>
      <w:r w:rsidRPr="00623EE6">
        <w:rPr>
          <w:color w:val="auto"/>
        </w:rPr>
        <w:t>Some local areas report positive outcomes for substance-use engagement, health service continuity and reduced re-offending, particularly where targeted interventions and pre-release planning have been strengthened. There is, however, an ongoing need for data collection and outcome measurement to fully assess the impact of these interventions.</w:t>
      </w:r>
    </w:p>
    <w:p w14:paraId="3DB36CB9" w14:textId="77777777" w:rsidR="00BA18BE" w:rsidRDefault="00BA18BE" w:rsidP="00BA18BE">
      <w:pPr>
        <w:rPr>
          <w:color w:val="auto"/>
        </w:rPr>
      </w:pPr>
    </w:p>
    <w:p w14:paraId="275ECB74" w14:textId="77777777" w:rsidR="00BA18BE" w:rsidRPr="00BA18BE" w:rsidRDefault="00BA18BE" w:rsidP="00BA18BE">
      <w:pPr>
        <w:rPr>
          <w:b/>
          <w:bCs/>
          <w:color w:val="auto"/>
        </w:rPr>
      </w:pPr>
      <w:r w:rsidRPr="00BA18BE">
        <w:rPr>
          <w:b/>
          <w:bCs/>
          <w:color w:val="auto"/>
        </w:rPr>
        <w:t>Third Sector</w:t>
      </w:r>
    </w:p>
    <w:p w14:paraId="7AAFD73C" w14:textId="77777777" w:rsidR="00BA18BE" w:rsidRDefault="00BA18BE" w:rsidP="00BA18BE">
      <w:pPr>
        <w:rPr>
          <w:color w:val="auto"/>
        </w:rPr>
      </w:pPr>
      <w:r>
        <w:rPr>
          <w:color w:val="auto"/>
        </w:rPr>
        <w:t xml:space="preserve">Whilst not a statutory partner, the </w:t>
      </w:r>
      <w:r w:rsidRPr="00623EE6">
        <w:rPr>
          <w:color w:val="auto"/>
        </w:rPr>
        <w:t xml:space="preserve">Third sector organisations play a pivotal role in supporting statutory services in the support of people in communities. </w:t>
      </w:r>
    </w:p>
    <w:p w14:paraId="46E11E8B" w14:textId="77777777" w:rsidR="00BA18BE" w:rsidRPr="00623EE6" w:rsidRDefault="00BA18BE" w:rsidP="00BA18BE">
      <w:r w:rsidRPr="00623EE6">
        <w:rPr>
          <w:color w:val="auto"/>
        </w:rPr>
        <w:t>The following organisations were specifically mentioned by local partnerships for this priority action:</w:t>
      </w:r>
      <w:r w:rsidRPr="00623EE6">
        <w:t xml:space="preserve"> Aberdeen Foyer, Action for Children, Alcohol and Drug Action, Apex Scotland, Arrows, Borders in Recovery, Change Grow, Live, Christians Against Poverty, Digital Lifelines Scotland, Families Outside, Fedcap, Grace Chocolates, Heavy Sound, Hillcrest Futures, Men’s Shed, Moray Rape Crisis, New Routes, Penumbra, Phoenix Futures, Recovery Enterprises Scotland, Resilience Learning Partnership, Sacro, Scottish Drugs Forum, Scottish Recovery Consortium, Seascape, Side by Side, The Cove, The Trust Project, Turning Point Scotland, Veterans First Point, We Are With You and West Lothian Almond Project.</w:t>
      </w:r>
    </w:p>
    <w:p w14:paraId="654988EA" w14:textId="4D0FC456" w:rsidR="00CE1B48" w:rsidRPr="00623EE6" w:rsidRDefault="00CE1B48">
      <w:pPr>
        <w:spacing w:line="240" w:lineRule="auto"/>
        <w:rPr>
          <w:rFonts w:ascii="Open Sans SemiBold" w:eastAsiaTheme="majorEastAsia" w:hAnsi="Open Sans SemiBold" w:cstheme="majorBidi"/>
          <w:b/>
          <w:color w:val="auto"/>
          <w:szCs w:val="26"/>
        </w:rPr>
      </w:pPr>
      <w:r w:rsidRPr="00623EE6">
        <w:rPr>
          <w:color w:val="auto"/>
        </w:rPr>
        <w:br w:type="page"/>
      </w:r>
    </w:p>
    <w:p w14:paraId="7849D0B5" w14:textId="442C633A" w:rsidR="00FE65E0" w:rsidRPr="00623EE6" w:rsidRDefault="00FE65E0" w:rsidP="003F3086">
      <w:pPr>
        <w:pStyle w:val="Heading2"/>
        <w:rPr>
          <w:lang w:val="en-GB"/>
        </w:rPr>
      </w:pPr>
      <w:bookmarkStart w:id="21" w:name="_Toc193901795"/>
      <w:r w:rsidRPr="00623EE6">
        <w:rPr>
          <w:lang w:val="en-GB"/>
        </w:rPr>
        <w:lastRenderedPageBreak/>
        <w:t xml:space="preserve">Priority Action 8: Ensure that the housing needs of individuals in prison are addressed consistently and at an early stage by fully implementing and embedding the </w:t>
      </w:r>
      <w:r w:rsidR="0049778E" w:rsidRPr="00623EE6">
        <w:rPr>
          <w:lang w:val="en-GB"/>
        </w:rPr>
        <w:t>Sustainable</w:t>
      </w:r>
      <w:r w:rsidRPr="00623EE6">
        <w:rPr>
          <w:lang w:val="en-GB"/>
        </w:rPr>
        <w:t xml:space="preserve"> Housing on Release for Everyone (SHORE) standards across all local authorities</w:t>
      </w:r>
      <w:bookmarkEnd w:id="21"/>
    </w:p>
    <w:p w14:paraId="0D7B9A3B" w14:textId="77777777" w:rsidR="0051042F" w:rsidRPr="00623EE6" w:rsidRDefault="0051042F" w:rsidP="0051042F">
      <w:pPr>
        <w:pStyle w:val="Heading3"/>
        <w:rPr>
          <w:lang w:eastAsia="en-GB"/>
        </w:rPr>
      </w:pPr>
      <w:r w:rsidRPr="00623EE6">
        <w:rPr>
          <w:lang w:eastAsia="en-GB"/>
        </w:rPr>
        <w:t>Performance</w:t>
      </w:r>
    </w:p>
    <w:p w14:paraId="37EBD977" w14:textId="286B5588" w:rsidR="008960B4" w:rsidRPr="00623EE6" w:rsidRDefault="00C81FA2" w:rsidP="00FE65E0">
      <w:pPr>
        <w:rPr>
          <w:b/>
          <w:bCs/>
          <w:color w:val="auto"/>
        </w:rPr>
      </w:pPr>
      <w:r w:rsidRPr="00623EE6">
        <w:rPr>
          <w:b/>
          <w:bCs/>
          <w:color w:val="auto"/>
        </w:rPr>
        <w:t xml:space="preserve">National </w:t>
      </w:r>
      <w:r w:rsidR="0006663E" w:rsidRPr="00623EE6">
        <w:rPr>
          <w:b/>
          <w:bCs/>
          <w:color w:val="auto"/>
        </w:rPr>
        <w:t>o</w:t>
      </w:r>
      <w:r w:rsidRPr="00623EE6">
        <w:rPr>
          <w:b/>
          <w:bCs/>
          <w:color w:val="auto"/>
        </w:rPr>
        <w:t xml:space="preserve">utcome: </w:t>
      </w:r>
    </w:p>
    <w:p w14:paraId="4F99435A" w14:textId="3A132E35" w:rsidR="00C81FA2" w:rsidRPr="00623EE6" w:rsidRDefault="00C81FA2" w:rsidP="00FE65E0">
      <w:pPr>
        <w:rPr>
          <w:color w:val="auto"/>
        </w:rPr>
      </w:pPr>
      <w:r w:rsidRPr="00623EE6">
        <w:rPr>
          <w:color w:val="auto"/>
        </w:rPr>
        <w:t>More people have access to suitable accommodation following release from a prison sentence</w:t>
      </w:r>
    </w:p>
    <w:p w14:paraId="59505414" w14:textId="24C01850" w:rsidR="008960B4" w:rsidRPr="00623EE6" w:rsidRDefault="003768CA" w:rsidP="00FE65E0">
      <w:pPr>
        <w:rPr>
          <w:color w:val="auto"/>
        </w:rPr>
      </w:pPr>
      <w:r w:rsidRPr="00623EE6">
        <w:rPr>
          <w:b/>
          <w:bCs/>
          <w:color w:val="auto"/>
        </w:rPr>
        <w:t>N</w:t>
      </w:r>
      <w:r w:rsidR="00C81FA2" w:rsidRPr="00623EE6">
        <w:rPr>
          <w:b/>
          <w:bCs/>
          <w:color w:val="auto"/>
        </w:rPr>
        <w:t>ational indicator</w:t>
      </w:r>
      <w:r w:rsidR="008960B4" w:rsidRPr="00623EE6">
        <w:rPr>
          <w:b/>
          <w:bCs/>
          <w:color w:val="auto"/>
        </w:rPr>
        <w:t>:</w:t>
      </w:r>
      <w:r w:rsidR="00C81FA2" w:rsidRPr="00623EE6">
        <w:rPr>
          <w:color w:val="auto"/>
        </w:rPr>
        <w:t xml:space="preserve"> </w:t>
      </w:r>
    </w:p>
    <w:p w14:paraId="0C0EFA97" w14:textId="72A71A71" w:rsidR="00C81FA2" w:rsidRPr="00623EE6" w:rsidRDefault="0075069C" w:rsidP="001223CA">
      <w:pPr>
        <w:pStyle w:val="ListParagraph"/>
        <w:numPr>
          <w:ilvl w:val="1"/>
          <w:numId w:val="13"/>
        </w:numPr>
        <w:rPr>
          <w:color w:val="auto"/>
        </w:rPr>
      </w:pPr>
      <w:r>
        <w:rPr>
          <w:color w:val="auto"/>
        </w:rPr>
        <w:t>N</w:t>
      </w:r>
      <w:r w:rsidR="004033D3" w:rsidRPr="00623EE6">
        <w:rPr>
          <w:color w:val="auto"/>
        </w:rPr>
        <w:t xml:space="preserve">umber of </w:t>
      </w:r>
      <w:r w:rsidR="00C81FA2" w:rsidRPr="00623EE6">
        <w:rPr>
          <w:color w:val="auto"/>
        </w:rPr>
        <w:t>homelessness applications where prison was the property the main applicant became homeless from</w:t>
      </w:r>
    </w:p>
    <w:p w14:paraId="359D27AE" w14:textId="3410578E" w:rsidR="00C81FA2" w:rsidRPr="00623EE6" w:rsidRDefault="00C81FA2" w:rsidP="00FE65E0">
      <w:pPr>
        <w:rPr>
          <w:color w:val="auto"/>
        </w:rPr>
      </w:pPr>
      <w:r w:rsidRPr="00623EE6">
        <w:rPr>
          <w:color w:val="auto"/>
        </w:rPr>
        <w:t>The data</w:t>
      </w:r>
      <w:r w:rsidR="00044DC3" w:rsidRPr="00623EE6">
        <w:rPr>
          <w:rStyle w:val="FootnoteReference"/>
          <w:color w:val="auto"/>
        </w:rPr>
        <w:footnoteReference w:id="42"/>
      </w:r>
      <w:r w:rsidRPr="00623EE6">
        <w:rPr>
          <w:color w:val="auto"/>
        </w:rPr>
        <w:t xml:space="preserve"> for this indicator is set out in the </w:t>
      </w:r>
      <w:r w:rsidR="005C752E" w:rsidRPr="00623EE6">
        <w:rPr>
          <w:color w:val="auto"/>
        </w:rPr>
        <w:t>figure</w:t>
      </w:r>
      <w:r w:rsidRPr="00623EE6">
        <w:rPr>
          <w:color w:val="auto"/>
        </w:rPr>
        <w:t xml:space="preserve"> below:</w:t>
      </w:r>
    </w:p>
    <w:p w14:paraId="25664261" w14:textId="25CAFA57" w:rsidR="00C81FA2" w:rsidRPr="00623EE6" w:rsidRDefault="008960B4" w:rsidP="00FE65E0">
      <w:pPr>
        <w:rPr>
          <w:color w:val="auto"/>
        </w:rPr>
      </w:pPr>
      <w:r w:rsidRPr="00623EE6">
        <w:rPr>
          <w:noProof/>
        </w:rPr>
        <w:drawing>
          <wp:inline distT="0" distB="0" distL="0" distR="0" wp14:anchorId="43C83FE6" wp14:editId="1A3B5C6F">
            <wp:extent cx="4572000" cy="2749550"/>
            <wp:effectExtent l="0" t="0" r="0" b="12700"/>
            <wp:docPr id="189863829" name="Chart 1" descr="Graph of Homelessness indicator">
              <a:extLst xmlns:a="http://schemas.openxmlformats.org/drawingml/2006/main">
                <a:ext uri="{FF2B5EF4-FFF2-40B4-BE49-F238E27FC236}">
                  <a16:creationId xmlns:a16="http://schemas.microsoft.com/office/drawing/2014/main" id="{841C2F2A-F54E-6BB2-717D-380E8491F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C927A6" w14:textId="114A0BA1" w:rsidR="00E16424" w:rsidRPr="00623EE6" w:rsidRDefault="00E16424" w:rsidP="00FE65E0">
      <w:pPr>
        <w:rPr>
          <w:color w:val="auto"/>
        </w:rPr>
      </w:pPr>
      <w:r w:rsidRPr="00623EE6">
        <w:rPr>
          <w:color w:val="auto"/>
        </w:rPr>
        <w:t xml:space="preserve">The baseline year for </w:t>
      </w:r>
      <w:r w:rsidR="0006663E" w:rsidRPr="00623EE6">
        <w:rPr>
          <w:color w:val="auto"/>
        </w:rPr>
        <w:t>this indicator</w:t>
      </w:r>
      <w:r w:rsidRPr="00623EE6">
        <w:rPr>
          <w:color w:val="auto"/>
        </w:rPr>
        <w:t xml:space="preserve"> is 2017-18 when the Community Justice (Scotland) Act 2016 was implemented.</w:t>
      </w:r>
    </w:p>
    <w:p w14:paraId="4C5AAC78" w14:textId="5A6ECE07" w:rsidR="00FE65E0" w:rsidRPr="00623EE6" w:rsidRDefault="00FE65E0" w:rsidP="00FE65E0">
      <w:pPr>
        <w:rPr>
          <w:color w:val="auto"/>
        </w:rPr>
      </w:pPr>
      <w:r w:rsidRPr="00623EE6">
        <w:rPr>
          <w:color w:val="auto"/>
        </w:rPr>
        <w:t>There has been a marked reduction in the number of people who present as homeless after imprisonment</w:t>
      </w:r>
      <w:r w:rsidR="00FC19EE" w:rsidRPr="00623EE6">
        <w:rPr>
          <w:color w:val="auto"/>
        </w:rPr>
        <w:t>.</w:t>
      </w:r>
      <w:r w:rsidRPr="00623EE6">
        <w:rPr>
          <w:color w:val="auto"/>
        </w:rPr>
        <w:t xml:space="preserve"> </w:t>
      </w:r>
      <w:r w:rsidR="00FC19EE" w:rsidRPr="00623EE6">
        <w:rPr>
          <w:color w:val="auto"/>
        </w:rPr>
        <w:t>H</w:t>
      </w:r>
      <w:r w:rsidRPr="00623EE6">
        <w:rPr>
          <w:color w:val="auto"/>
        </w:rPr>
        <w:t>owever</w:t>
      </w:r>
      <w:r w:rsidR="00FC19EE" w:rsidRPr="00623EE6">
        <w:rPr>
          <w:color w:val="auto"/>
        </w:rPr>
        <w:t>,</w:t>
      </w:r>
      <w:r w:rsidRPr="00623EE6">
        <w:rPr>
          <w:color w:val="auto"/>
        </w:rPr>
        <w:t xml:space="preserve"> there has also been a reduction in the number of people leaving prison over the same period. It is not possible to draw accurate inferences from this because the number of people being liberated from prison who disclose that they were of </w:t>
      </w:r>
      <w:r w:rsidR="00B64201" w:rsidRPr="00623EE6">
        <w:rPr>
          <w:color w:val="auto"/>
        </w:rPr>
        <w:t>‘</w:t>
      </w:r>
      <w:r w:rsidRPr="00623EE6">
        <w:rPr>
          <w:color w:val="auto"/>
        </w:rPr>
        <w:t>no fixed abode</w:t>
      </w:r>
      <w:r w:rsidR="00B64201" w:rsidRPr="00623EE6">
        <w:rPr>
          <w:color w:val="auto"/>
        </w:rPr>
        <w:t>’</w:t>
      </w:r>
      <w:r w:rsidRPr="00623EE6">
        <w:rPr>
          <w:color w:val="auto"/>
        </w:rPr>
        <w:t xml:space="preserve"> when they arrive</w:t>
      </w:r>
      <w:r w:rsidR="00FC19EE" w:rsidRPr="00623EE6">
        <w:rPr>
          <w:color w:val="auto"/>
        </w:rPr>
        <w:t>d</w:t>
      </w:r>
      <w:r w:rsidRPr="00623EE6">
        <w:rPr>
          <w:color w:val="auto"/>
        </w:rPr>
        <w:t xml:space="preserve"> in prison is also significantly higher. </w:t>
      </w:r>
      <w:r w:rsidR="00FC19EE" w:rsidRPr="00623EE6">
        <w:rPr>
          <w:color w:val="auto"/>
        </w:rPr>
        <w:t xml:space="preserve">Usually </w:t>
      </w:r>
      <w:r w:rsidRPr="00623EE6">
        <w:rPr>
          <w:color w:val="auto"/>
        </w:rPr>
        <w:t>this would suggest that more people are leaving prison with complex needs</w:t>
      </w:r>
      <w:r w:rsidR="009C06E6" w:rsidRPr="00623EE6">
        <w:rPr>
          <w:color w:val="auto"/>
        </w:rPr>
        <w:t>.</w:t>
      </w:r>
      <w:r w:rsidRPr="00623EE6">
        <w:rPr>
          <w:color w:val="auto"/>
        </w:rPr>
        <w:t xml:space="preserve"> </w:t>
      </w:r>
      <w:r w:rsidR="009C06E6" w:rsidRPr="00623EE6">
        <w:rPr>
          <w:color w:val="auto"/>
        </w:rPr>
        <w:t>H</w:t>
      </w:r>
      <w:r w:rsidRPr="00623EE6">
        <w:rPr>
          <w:color w:val="auto"/>
        </w:rPr>
        <w:t>owever</w:t>
      </w:r>
      <w:r w:rsidR="009C06E6" w:rsidRPr="00623EE6">
        <w:rPr>
          <w:color w:val="auto"/>
        </w:rPr>
        <w:t>,</w:t>
      </w:r>
      <w:r w:rsidRPr="00623EE6">
        <w:rPr>
          <w:color w:val="auto"/>
        </w:rPr>
        <w:t xml:space="preserve"> the implementation of the SHORE standards </w:t>
      </w:r>
      <w:r w:rsidRPr="00623EE6">
        <w:rPr>
          <w:color w:val="auto"/>
        </w:rPr>
        <w:lastRenderedPageBreak/>
        <w:t>may have increased the visibility of such problems in recent years. Therefore, the data points need to be considered with complex variables and caveats.</w:t>
      </w:r>
    </w:p>
    <w:p w14:paraId="44579FE5" w14:textId="2370837E" w:rsidR="00FE65E0" w:rsidRPr="00623EE6" w:rsidRDefault="006F3C75" w:rsidP="00FE65E0">
      <w:pPr>
        <w:rPr>
          <w:lang w:eastAsia="en-GB"/>
        </w:rPr>
      </w:pPr>
      <w:r w:rsidRPr="00623EE6">
        <w:rPr>
          <w:color w:val="auto"/>
          <w:lang w:eastAsia="en-GB"/>
        </w:rPr>
        <w:t xml:space="preserve">For more information about the indicator see </w:t>
      </w:r>
      <w:hyperlink r:id="rId47" w:history="1">
        <w:r w:rsidR="00E771F4" w:rsidRPr="00623EE6">
          <w:rPr>
            <w:rStyle w:val="Hyperlink"/>
            <w:lang w:eastAsia="en-GB"/>
          </w:rPr>
          <w:t>Community Justice Performance Framework: guidance and technical notes, version 2</w:t>
        </w:r>
      </w:hyperlink>
      <w:r w:rsidR="009C06E6" w:rsidRPr="00623EE6">
        <w:t>.</w:t>
      </w:r>
    </w:p>
    <w:p w14:paraId="709DDDFE" w14:textId="47AB0ADE" w:rsidR="00FE65E0" w:rsidRPr="00623EE6" w:rsidRDefault="00C81FA2" w:rsidP="00791D87">
      <w:pPr>
        <w:pStyle w:val="Heading3"/>
        <w:rPr>
          <w:color w:val="auto"/>
        </w:rPr>
      </w:pPr>
      <w:r w:rsidRPr="00623EE6">
        <w:rPr>
          <w:color w:val="auto"/>
        </w:rPr>
        <w:t>Wider evidence</w:t>
      </w:r>
    </w:p>
    <w:p w14:paraId="2F65EEEF" w14:textId="77B9B4DB" w:rsidR="00C81FA2" w:rsidRPr="00623EE6" w:rsidRDefault="00C81FA2" w:rsidP="00C81FA2">
      <w:pPr>
        <w:rPr>
          <w:color w:val="auto"/>
        </w:rPr>
      </w:pPr>
      <w:r w:rsidRPr="00623EE6">
        <w:rPr>
          <w:color w:val="auto"/>
        </w:rPr>
        <w:t>Many local areas are improving co</w:t>
      </w:r>
      <w:r w:rsidR="00F05F6D" w:rsidRPr="00623EE6">
        <w:rPr>
          <w:color w:val="auto"/>
        </w:rPr>
        <w:t>-</w:t>
      </w:r>
      <w:r w:rsidRPr="00623EE6">
        <w:rPr>
          <w:color w:val="auto"/>
        </w:rPr>
        <w:t>ordination and support for housing amid unprecedented supply and demand problems</w:t>
      </w:r>
      <w:r w:rsidR="00F05F6D" w:rsidRPr="00623EE6">
        <w:rPr>
          <w:color w:val="auto"/>
        </w:rPr>
        <w:t>.</w:t>
      </w:r>
      <w:r w:rsidRPr="00623EE6">
        <w:rPr>
          <w:color w:val="auto"/>
        </w:rPr>
        <w:t xml:space="preserve"> </w:t>
      </w:r>
      <w:r w:rsidR="00F05F6D" w:rsidRPr="00623EE6">
        <w:rPr>
          <w:color w:val="auto"/>
        </w:rPr>
        <w:t>B</w:t>
      </w:r>
      <w:r w:rsidRPr="00623EE6">
        <w:rPr>
          <w:color w:val="auto"/>
        </w:rPr>
        <w:t>ut the picture is inconsistent.</w:t>
      </w:r>
    </w:p>
    <w:p w14:paraId="3A061671" w14:textId="2A38A66F" w:rsidR="00FE65E0" w:rsidRPr="00623EE6" w:rsidRDefault="00E71A33" w:rsidP="00FE65E0">
      <w:pPr>
        <w:rPr>
          <w:color w:val="auto"/>
        </w:rPr>
      </w:pPr>
      <w:r w:rsidRPr="00623EE6">
        <w:rPr>
          <w:color w:val="auto"/>
        </w:rPr>
        <w:t xml:space="preserve">The </w:t>
      </w:r>
      <w:hyperlink r:id="rId48" w:history="1">
        <w:r w:rsidR="00C938B3" w:rsidRPr="00623EE6">
          <w:rPr>
            <w:rStyle w:val="Hyperlink"/>
          </w:rPr>
          <w:t>SHORE standards have been refreshed</w:t>
        </w:r>
      </w:hyperlink>
      <w:r w:rsidR="00651BB1" w:rsidRPr="00623EE6">
        <w:rPr>
          <w:color w:val="auto"/>
        </w:rPr>
        <w:t xml:space="preserve"> </w:t>
      </w:r>
      <w:r w:rsidR="00C938B3" w:rsidRPr="00623EE6">
        <w:rPr>
          <w:color w:val="auto"/>
        </w:rPr>
        <w:t>to bring them up to date with legislation, policy and practice</w:t>
      </w:r>
      <w:r w:rsidR="00FE65E0" w:rsidRPr="00623EE6">
        <w:rPr>
          <w:color w:val="auto"/>
        </w:rPr>
        <w:t xml:space="preserve">, and </w:t>
      </w:r>
      <w:r w:rsidR="00FC7E86" w:rsidRPr="00623EE6">
        <w:rPr>
          <w:color w:val="auto"/>
        </w:rPr>
        <w:t xml:space="preserve">to </w:t>
      </w:r>
      <w:r w:rsidR="00C938B3" w:rsidRPr="00623EE6">
        <w:rPr>
          <w:color w:val="auto"/>
        </w:rPr>
        <w:t xml:space="preserve">articulate </w:t>
      </w:r>
      <w:r w:rsidR="00FE65E0" w:rsidRPr="00623EE6">
        <w:rPr>
          <w:color w:val="auto"/>
        </w:rPr>
        <w:t xml:space="preserve">what ‘best practice’ looks like. </w:t>
      </w:r>
      <w:r w:rsidR="00C938B3" w:rsidRPr="00623EE6">
        <w:rPr>
          <w:color w:val="auto"/>
        </w:rPr>
        <w:t xml:space="preserve">A fuller review </w:t>
      </w:r>
      <w:r w:rsidR="00FE65E0" w:rsidRPr="00623EE6">
        <w:rPr>
          <w:color w:val="auto"/>
        </w:rPr>
        <w:t xml:space="preserve">will </w:t>
      </w:r>
      <w:r w:rsidR="00FC7E86" w:rsidRPr="00623EE6">
        <w:rPr>
          <w:color w:val="auto"/>
        </w:rPr>
        <w:t>consider</w:t>
      </w:r>
      <w:r w:rsidR="00FE65E0" w:rsidRPr="00623EE6">
        <w:rPr>
          <w:color w:val="auto"/>
        </w:rPr>
        <w:t xml:space="preserve"> learning from any potential pilot project and multi</w:t>
      </w:r>
      <w:r w:rsidR="0006663E" w:rsidRPr="00623EE6">
        <w:rPr>
          <w:color w:val="auto"/>
        </w:rPr>
        <w:t>-</w:t>
      </w:r>
      <w:r w:rsidR="00FE65E0" w:rsidRPr="00623EE6">
        <w:rPr>
          <w:color w:val="auto"/>
        </w:rPr>
        <w:t>agency arrangements</w:t>
      </w:r>
      <w:r w:rsidR="005E2F02" w:rsidRPr="00623EE6">
        <w:rPr>
          <w:color w:val="auto"/>
        </w:rPr>
        <w:t>.</w:t>
      </w:r>
    </w:p>
    <w:p w14:paraId="1507E012" w14:textId="77777777" w:rsidR="00FE65E0" w:rsidRPr="00623EE6" w:rsidRDefault="00FE65E0" w:rsidP="00FE65E0">
      <w:pPr>
        <w:rPr>
          <w:color w:val="auto"/>
        </w:rPr>
      </w:pPr>
      <w:r w:rsidRPr="00623EE6">
        <w:rPr>
          <w:color w:val="auto"/>
        </w:rPr>
        <w:t>Early intervention in addressing housing needs for individuals in prison is crucial. Many local authorities have prioritised early assessments and arrangements to ensure that housing is available upon release.</w:t>
      </w:r>
    </w:p>
    <w:p w14:paraId="6A2BC616" w14:textId="0B3441E7" w:rsidR="00FE65E0" w:rsidRPr="00623EE6" w:rsidRDefault="00FC7E86" w:rsidP="00FE65E0">
      <w:pPr>
        <w:rPr>
          <w:color w:val="auto"/>
        </w:rPr>
      </w:pPr>
      <w:r w:rsidRPr="00623EE6">
        <w:rPr>
          <w:color w:val="auto"/>
        </w:rPr>
        <w:t xml:space="preserve">Close </w:t>
      </w:r>
      <w:r w:rsidR="00FE65E0" w:rsidRPr="00623EE6">
        <w:rPr>
          <w:color w:val="auto"/>
        </w:rPr>
        <w:t xml:space="preserve">collaboration among stakeholders, including </w:t>
      </w:r>
      <w:r w:rsidRPr="00623EE6">
        <w:rPr>
          <w:color w:val="auto"/>
        </w:rPr>
        <w:t>SPS</w:t>
      </w:r>
      <w:r w:rsidR="00FE65E0" w:rsidRPr="00623EE6">
        <w:rPr>
          <w:color w:val="auto"/>
        </w:rPr>
        <w:t>, local housing services, social work, third sector organisations and health services, is essential for meeting housing needs. Many areas have highlighted success through partnership working, though challenges remain</w:t>
      </w:r>
      <w:r w:rsidRPr="00623EE6">
        <w:rPr>
          <w:color w:val="auto"/>
        </w:rPr>
        <w:t xml:space="preserve"> </w:t>
      </w:r>
      <w:r w:rsidR="00FE65E0" w:rsidRPr="00623EE6">
        <w:rPr>
          <w:color w:val="auto"/>
        </w:rPr>
        <w:t>amid resource constraints.</w:t>
      </w:r>
      <w:r w:rsidR="00A15422" w:rsidRPr="00623EE6">
        <w:rPr>
          <w:color w:val="auto"/>
        </w:rPr>
        <w:t xml:space="preserve"> The picture across local areas is inconsistent.</w:t>
      </w:r>
    </w:p>
    <w:p w14:paraId="2C5B38FF" w14:textId="00A1D940" w:rsidR="00FE65E0" w:rsidRPr="00623EE6" w:rsidRDefault="00FE65E0" w:rsidP="00FE65E0">
      <w:pPr>
        <w:rPr>
          <w:color w:val="auto"/>
        </w:rPr>
      </w:pPr>
      <w:r w:rsidRPr="00623EE6">
        <w:rPr>
          <w:color w:val="auto"/>
        </w:rPr>
        <w:t xml:space="preserve">Many individuals leaving prison have complex needs, including mental health and substance misuse issues, which require integrated support alongside housing. The Housing First model and other tailored support initiatives </w:t>
      </w:r>
      <w:r w:rsidR="00FC7E86" w:rsidRPr="00623EE6">
        <w:rPr>
          <w:color w:val="auto"/>
        </w:rPr>
        <w:t>are</w:t>
      </w:r>
      <w:r w:rsidRPr="00623EE6">
        <w:rPr>
          <w:color w:val="auto"/>
        </w:rPr>
        <w:t xml:space="preserve"> designed to provide stable housing and reduc</w:t>
      </w:r>
      <w:r w:rsidR="00FC7E86" w:rsidRPr="00623EE6">
        <w:rPr>
          <w:color w:val="auto"/>
        </w:rPr>
        <w:t>e</w:t>
      </w:r>
      <w:r w:rsidRPr="00623EE6">
        <w:rPr>
          <w:color w:val="auto"/>
        </w:rPr>
        <w:t xml:space="preserve"> re-offending, particularly for those with multiple and complex needs</w:t>
      </w:r>
      <w:r w:rsidR="00FC7E86" w:rsidRPr="00623EE6">
        <w:rPr>
          <w:color w:val="auto"/>
        </w:rPr>
        <w:t>.</w:t>
      </w:r>
      <w:r w:rsidRPr="00623EE6">
        <w:rPr>
          <w:color w:val="auto"/>
        </w:rPr>
        <w:t xml:space="preserve"> </w:t>
      </w:r>
      <w:r w:rsidR="00FC7E86" w:rsidRPr="00623EE6">
        <w:rPr>
          <w:color w:val="auto"/>
        </w:rPr>
        <w:t>H</w:t>
      </w:r>
      <w:r w:rsidRPr="00623EE6">
        <w:rPr>
          <w:color w:val="auto"/>
        </w:rPr>
        <w:t>owever</w:t>
      </w:r>
      <w:r w:rsidR="00FC7E86" w:rsidRPr="00623EE6">
        <w:rPr>
          <w:color w:val="auto"/>
        </w:rPr>
        <w:t>,</w:t>
      </w:r>
      <w:r w:rsidRPr="00623EE6">
        <w:rPr>
          <w:color w:val="auto"/>
        </w:rPr>
        <w:t xml:space="preserve"> there are ongoing practical difficulties.</w:t>
      </w:r>
    </w:p>
    <w:p w14:paraId="045389E3" w14:textId="22D68AC2" w:rsidR="00FE65E0" w:rsidRPr="00623EE6" w:rsidRDefault="00FE65E0" w:rsidP="00FE65E0">
      <w:pPr>
        <w:rPr>
          <w:color w:val="auto"/>
        </w:rPr>
      </w:pPr>
      <w:r w:rsidRPr="00623EE6">
        <w:rPr>
          <w:color w:val="auto"/>
        </w:rPr>
        <w:t>Some local authorities have recognised the need for targeted support for vulnerable groups, including women</w:t>
      </w:r>
      <w:r w:rsidR="00B94A56" w:rsidRPr="00623EE6">
        <w:rPr>
          <w:color w:val="auto"/>
        </w:rPr>
        <w:t xml:space="preserve"> in conflict with the law</w:t>
      </w:r>
      <w:r w:rsidRPr="00623EE6">
        <w:rPr>
          <w:color w:val="auto"/>
        </w:rPr>
        <w:t xml:space="preserve">, individuals with mental health needs and individuals </w:t>
      </w:r>
      <w:r w:rsidR="00620ECB" w:rsidRPr="00623EE6">
        <w:rPr>
          <w:color w:val="auto"/>
        </w:rPr>
        <w:t xml:space="preserve">for whom </w:t>
      </w:r>
      <w:r w:rsidRPr="00623EE6">
        <w:rPr>
          <w:color w:val="auto"/>
        </w:rPr>
        <w:t>risk needs to be managed more closely. This includes specialised roles</w:t>
      </w:r>
      <w:r w:rsidR="00C94A46" w:rsidRPr="00623EE6">
        <w:rPr>
          <w:color w:val="auto"/>
        </w:rPr>
        <w:t>,</w:t>
      </w:r>
      <w:r w:rsidRPr="00623EE6">
        <w:rPr>
          <w:color w:val="auto"/>
        </w:rPr>
        <w:t xml:space="preserve"> such as </w:t>
      </w:r>
      <w:r w:rsidR="00620ECB" w:rsidRPr="00623EE6">
        <w:rPr>
          <w:color w:val="auto"/>
        </w:rPr>
        <w:t>women’s support workers</w:t>
      </w:r>
      <w:r w:rsidRPr="00623EE6">
        <w:rPr>
          <w:color w:val="auto"/>
        </w:rPr>
        <w:t xml:space="preserve"> and </w:t>
      </w:r>
      <w:r w:rsidR="00E02F3D" w:rsidRPr="00623EE6">
        <w:rPr>
          <w:color w:val="auto"/>
        </w:rPr>
        <w:t>h</w:t>
      </w:r>
      <w:r w:rsidRPr="00623EE6">
        <w:rPr>
          <w:color w:val="auto"/>
        </w:rPr>
        <w:t>ousing SOLO</w:t>
      </w:r>
      <w:r w:rsidR="00E02F3D" w:rsidRPr="00623EE6">
        <w:rPr>
          <w:color w:val="auto"/>
        </w:rPr>
        <w:t>s</w:t>
      </w:r>
      <w:r w:rsidRPr="00623EE6">
        <w:rPr>
          <w:color w:val="auto"/>
        </w:rPr>
        <w:t xml:space="preserve"> (</w:t>
      </w:r>
      <w:r w:rsidR="00620ECB" w:rsidRPr="00623EE6">
        <w:rPr>
          <w:color w:val="auto"/>
        </w:rPr>
        <w:t>sex offender liaison officers</w:t>
      </w:r>
      <w:r w:rsidRPr="00623EE6">
        <w:rPr>
          <w:color w:val="auto"/>
        </w:rPr>
        <w:t>), to provide tailored housing support and public protection.</w:t>
      </w:r>
    </w:p>
    <w:p w14:paraId="13DD6B56" w14:textId="089C930C" w:rsidR="00FE65E0" w:rsidRPr="00623EE6" w:rsidRDefault="00FE65E0" w:rsidP="00FE65E0">
      <w:pPr>
        <w:rPr>
          <w:color w:val="auto"/>
        </w:rPr>
      </w:pPr>
      <w:r w:rsidRPr="00623EE6">
        <w:rPr>
          <w:color w:val="auto"/>
        </w:rPr>
        <w:t>There is an increased focus on data collection to measure the success of housing interventions, such as tenancy sustainment rates and reductions in homelessness applications among prison leavers.</w:t>
      </w:r>
    </w:p>
    <w:p w14:paraId="306B799E" w14:textId="367BFDDF" w:rsidR="00FE65E0" w:rsidRPr="00623EE6" w:rsidRDefault="00FE65E0" w:rsidP="00FE65E0">
      <w:pPr>
        <w:rPr>
          <w:color w:val="auto"/>
        </w:rPr>
      </w:pPr>
      <w:r w:rsidRPr="00623EE6">
        <w:rPr>
          <w:color w:val="auto"/>
        </w:rPr>
        <w:t xml:space="preserve">For individuals on remand or serving short sentences, limited notice of release can hinder effective housing planning. This often results in temporary or emergency </w:t>
      </w:r>
      <w:r w:rsidRPr="00623EE6">
        <w:rPr>
          <w:color w:val="auto"/>
        </w:rPr>
        <w:lastRenderedPageBreak/>
        <w:t xml:space="preserve">accommodation, which may negatively </w:t>
      </w:r>
      <w:r w:rsidR="00E02F3D" w:rsidRPr="00623EE6">
        <w:rPr>
          <w:color w:val="auto"/>
        </w:rPr>
        <w:t xml:space="preserve">affect </w:t>
      </w:r>
      <w:r w:rsidRPr="00623EE6">
        <w:rPr>
          <w:color w:val="auto"/>
        </w:rPr>
        <w:t>their reintegration and make stable employment more difficult to obtain and/or sustain.</w:t>
      </w:r>
    </w:p>
    <w:p w14:paraId="26255ECB" w14:textId="1EBDE6EC" w:rsidR="00FE65E0" w:rsidRPr="00623EE6" w:rsidRDefault="00FE65E0" w:rsidP="00FE65E0">
      <w:pPr>
        <w:rPr>
          <w:color w:val="auto"/>
        </w:rPr>
      </w:pPr>
      <w:r w:rsidRPr="00623EE6">
        <w:rPr>
          <w:color w:val="auto"/>
        </w:rPr>
        <w:t>Apart from people being liberated from remand (where there is no prior information available), information</w:t>
      </w:r>
      <w:r w:rsidR="00963186" w:rsidRPr="00623EE6">
        <w:rPr>
          <w:color w:val="auto"/>
        </w:rPr>
        <w:t>-</w:t>
      </w:r>
      <w:r w:rsidRPr="00623EE6">
        <w:rPr>
          <w:color w:val="auto"/>
        </w:rPr>
        <w:t>sharing processes are working much better</w:t>
      </w:r>
      <w:r w:rsidR="00E02F3D" w:rsidRPr="00623EE6">
        <w:rPr>
          <w:color w:val="auto"/>
        </w:rPr>
        <w:t>,</w:t>
      </w:r>
      <w:r w:rsidRPr="00623EE6">
        <w:rPr>
          <w:color w:val="auto"/>
        </w:rPr>
        <w:t xml:space="preserve"> and there are signs that local collaborative pre-release planning arrangements are improving.</w:t>
      </w:r>
    </w:p>
    <w:p w14:paraId="6E6FDE4B" w14:textId="3807DC50" w:rsidR="00FE65E0" w:rsidRPr="00623EE6" w:rsidRDefault="00FE65E0" w:rsidP="00FE65E0">
      <w:pPr>
        <w:rPr>
          <w:color w:val="auto"/>
        </w:rPr>
      </w:pPr>
      <w:r w:rsidRPr="00623EE6">
        <w:rPr>
          <w:color w:val="auto"/>
        </w:rPr>
        <w:t>A significant challenge across local areas is the shortage of both permanent and temporary housing. Many councils have declared housing emergencies due to overwhelming demand, rising costs and limited housing stock, which hampers efforts to provide stable accommodation for those leaving prison.</w:t>
      </w:r>
    </w:p>
    <w:p w14:paraId="7D5E21B9" w14:textId="2362B6D0" w:rsidR="000826D6" w:rsidRPr="00623EE6" w:rsidRDefault="000826D6" w:rsidP="000826D6">
      <w:pPr>
        <w:rPr>
          <w:color w:val="auto"/>
        </w:rPr>
      </w:pPr>
      <w:r w:rsidRPr="00623EE6">
        <w:rPr>
          <w:color w:val="auto"/>
        </w:rPr>
        <w:t xml:space="preserve">While significant progress has been made in implementing </w:t>
      </w:r>
      <w:r w:rsidR="00473378" w:rsidRPr="00623EE6">
        <w:rPr>
          <w:color w:val="auto"/>
        </w:rPr>
        <w:t>the SHORE</w:t>
      </w:r>
      <w:r w:rsidRPr="00623EE6">
        <w:rPr>
          <w:color w:val="auto"/>
        </w:rPr>
        <w:t xml:space="preserve"> </w:t>
      </w:r>
      <w:r w:rsidR="00E02F3D" w:rsidRPr="00623EE6">
        <w:rPr>
          <w:color w:val="auto"/>
        </w:rPr>
        <w:t>s</w:t>
      </w:r>
      <w:r w:rsidRPr="00623EE6">
        <w:rPr>
          <w:color w:val="auto"/>
        </w:rPr>
        <w:t>tandards, barriers such as housing shortages and resource limitations persist.</w:t>
      </w:r>
    </w:p>
    <w:p w14:paraId="7D4FD269" w14:textId="61E7BCA7" w:rsidR="000826D6" w:rsidRPr="00623EE6" w:rsidRDefault="000826D6" w:rsidP="000826D6">
      <w:pPr>
        <w:rPr>
          <w:color w:val="auto"/>
        </w:rPr>
      </w:pPr>
      <w:r w:rsidRPr="00623EE6">
        <w:rPr>
          <w:color w:val="auto"/>
        </w:rPr>
        <w:t xml:space="preserve">Consistent data collection, particularly </w:t>
      </w:r>
      <w:r w:rsidR="00E02F3D" w:rsidRPr="00623EE6">
        <w:rPr>
          <w:color w:val="auto"/>
        </w:rPr>
        <w:t xml:space="preserve">for </w:t>
      </w:r>
      <w:r w:rsidRPr="00623EE6">
        <w:rPr>
          <w:color w:val="auto"/>
        </w:rPr>
        <w:t>tenancy sustainment and homelessness prevention outcomes, remains a critical gap, limiting the ability to evaluate the effectiveness of housing interventions.</w:t>
      </w:r>
    </w:p>
    <w:p w14:paraId="1F2AAF46" w14:textId="08FB68BE" w:rsidR="00FE65E0" w:rsidRPr="00623EE6" w:rsidRDefault="00F51F3A" w:rsidP="00FE65E0">
      <w:pPr>
        <w:rPr>
          <w:color w:val="auto"/>
        </w:rPr>
      </w:pPr>
      <w:r w:rsidRPr="00623EE6">
        <w:rPr>
          <w:color w:val="auto"/>
        </w:rPr>
        <w:t xml:space="preserve">New working practices during the pandemic enabled </w:t>
      </w:r>
      <w:r w:rsidR="0004683D" w:rsidRPr="00623EE6">
        <w:rPr>
          <w:color w:val="auto"/>
        </w:rPr>
        <w:t xml:space="preserve">pre-release housing options interviews </w:t>
      </w:r>
      <w:r w:rsidR="00E02F3D" w:rsidRPr="00623EE6">
        <w:rPr>
          <w:color w:val="auto"/>
        </w:rPr>
        <w:t>by</w:t>
      </w:r>
      <w:r w:rsidR="0004683D" w:rsidRPr="00623EE6">
        <w:rPr>
          <w:color w:val="auto"/>
        </w:rPr>
        <w:t xml:space="preserve"> telephone. </w:t>
      </w:r>
      <w:r w:rsidR="00473378" w:rsidRPr="00623EE6">
        <w:rPr>
          <w:color w:val="auto"/>
        </w:rPr>
        <w:t>F</w:t>
      </w:r>
      <w:r w:rsidR="003B55EC" w:rsidRPr="00623EE6">
        <w:rPr>
          <w:color w:val="auto"/>
        </w:rPr>
        <w:t xml:space="preserve">ace-to face interviews with housing officers </w:t>
      </w:r>
      <w:r w:rsidR="00C32FCA" w:rsidRPr="00623EE6">
        <w:rPr>
          <w:color w:val="auto"/>
        </w:rPr>
        <w:t>are</w:t>
      </w:r>
      <w:r w:rsidR="00E02F3D" w:rsidRPr="00623EE6">
        <w:rPr>
          <w:color w:val="auto"/>
        </w:rPr>
        <w:t xml:space="preserve"> preferable</w:t>
      </w:r>
      <w:r w:rsidR="00C32FCA" w:rsidRPr="00623EE6">
        <w:rPr>
          <w:color w:val="auto"/>
        </w:rPr>
        <w:t>. Historically</w:t>
      </w:r>
      <w:r w:rsidR="00E02F3D" w:rsidRPr="00623EE6">
        <w:rPr>
          <w:color w:val="auto"/>
        </w:rPr>
        <w:t>,</w:t>
      </w:r>
      <w:r w:rsidR="00C32FCA" w:rsidRPr="00623EE6">
        <w:rPr>
          <w:color w:val="auto"/>
        </w:rPr>
        <w:t xml:space="preserve"> this has been challenging to implement because </w:t>
      </w:r>
      <w:r w:rsidR="00DB0C22" w:rsidRPr="00623EE6">
        <w:rPr>
          <w:color w:val="auto"/>
        </w:rPr>
        <w:t>residents are dispersed around the prison estate</w:t>
      </w:r>
      <w:r w:rsidR="00E02F3D" w:rsidRPr="00623EE6">
        <w:rPr>
          <w:color w:val="auto"/>
        </w:rPr>
        <w:t>,</w:t>
      </w:r>
      <w:r w:rsidR="00DB0C22" w:rsidRPr="00623EE6">
        <w:rPr>
          <w:color w:val="auto"/>
        </w:rPr>
        <w:t xml:space="preserve"> </w:t>
      </w:r>
      <w:r w:rsidR="00E02F3D" w:rsidRPr="00623EE6">
        <w:rPr>
          <w:color w:val="auto"/>
        </w:rPr>
        <w:t>making it difficult</w:t>
      </w:r>
      <w:r w:rsidR="00F95561" w:rsidRPr="00623EE6">
        <w:rPr>
          <w:color w:val="auto"/>
        </w:rPr>
        <w:t xml:space="preserve"> for local authorities to manage </w:t>
      </w:r>
      <w:r w:rsidR="00DC5879" w:rsidRPr="00623EE6">
        <w:rPr>
          <w:color w:val="auto"/>
        </w:rPr>
        <w:t xml:space="preserve">this </w:t>
      </w:r>
      <w:r w:rsidR="00F95561" w:rsidRPr="00623EE6">
        <w:rPr>
          <w:color w:val="auto"/>
        </w:rPr>
        <w:t xml:space="preserve">practicably. </w:t>
      </w:r>
      <w:r w:rsidR="00B76E80" w:rsidRPr="00623EE6">
        <w:rPr>
          <w:color w:val="auto"/>
        </w:rPr>
        <w:t xml:space="preserve">The SHORE </w:t>
      </w:r>
      <w:r w:rsidR="007448F3" w:rsidRPr="00623EE6">
        <w:rPr>
          <w:color w:val="auto"/>
        </w:rPr>
        <w:t>strategic oversight group</w:t>
      </w:r>
      <w:r w:rsidR="00C938B3" w:rsidRPr="00623EE6">
        <w:rPr>
          <w:color w:val="auto"/>
        </w:rPr>
        <w:t xml:space="preserve"> is working with housing partners to consider resourcing a prison-based housing options service</w:t>
      </w:r>
      <w:r w:rsidR="007448F3" w:rsidRPr="00623EE6">
        <w:rPr>
          <w:color w:val="auto"/>
        </w:rPr>
        <w:t>.</w:t>
      </w:r>
    </w:p>
    <w:p w14:paraId="0E901825" w14:textId="2521B479" w:rsidR="00D376D6" w:rsidRPr="00623EE6" w:rsidRDefault="00D376D6" w:rsidP="00D376D6">
      <w:pPr>
        <w:rPr>
          <w:lang w:eastAsia="en-GB"/>
        </w:rPr>
      </w:pPr>
      <w:r w:rsidRPr="00623EE6">
        <w:rPr>
          <w:color w:val="auto"/>
        </w:rPr>
        <w:t xml:space="preserve">Third sector organisations play a pivotal role in supporting statutory services in the support of people in communities. The following organisations were specifically mentioned by local partnerships </w:t>
      </w:r>
      <w:r w:rsidR="007448F3" w:rsidRPr="00623EE6">
        <w:rPr>
          <w:color w:val="auto"/>
        </w:rPr>
        <w:t xml:space="preserve">under </w:t>
      </w:r>
      <w:r w:rsidRPr="00623EE6">
        <w:rPr>
          <w:color w:val="auto"/>
        </w:rPr>
        <w:t>this priority action:</w:t>
      </w:r>
      <w:r w:rsidRPr="00623EE6">
        <w:rPr>
          <w:lang w:eastAsia="en-GB"/>
        </w:rPr>
        <w:t xml:space="preserve"> </w:t>
      </w:r>
      <w:r w:rsidRPr="00623EE6">
        <w:t xml:space="preserve">Ayr Housing Aid, Carr Gorm, Families Outside, Hillcrest Futures, </w:t>
      </w:r>
      <w:r w:rsidR="00290778" w:rsidRPr="00623EE6">
        <w:t>Lomond and Argyll Advocacy Service</w:t>
      </w:r>
      <w:r w:rsidRPr="00623EE6">
        <w:t>, Quarriers, S</w:t>
      </w:r>
      <w:r w:rsidR="000F1138" w:rsidRPr="00623EE6">
        <w:t>acro</w:t>
      </w:r>
      <w:r w:rsidRPr="00623EE6">
        <w:t xml:space="preserve">, Scottish Federation of Housing Associations (SFHA), Seascape, Shelter, Simon Community, </w:t>
      </w:r>
      <w:r w:rsidR="00DC5879" w:rsidRPr="00623EE6">
        <w:t>t</w:t>
      </w:r>
      <w:r w:rsidRPr="00623EE6">
        <w:t>he W</w:t>
      </w:r>
      <w:r w:rsidR="00ED2815" w:rsidRPr="00623EE6">
        <w:t>ise</w:t>
      </w:r>
      <w:r w:rsidRPr="00623EE6">
        <w:t xml:space="preserve"> Group</w:t>
      </w:r>
      <w:r w:rsidR="007448F3" w:rsidRPr="00623EE6">
        <w:t xml:space="preserve"> and</w:t>
      </w:r>
      <w:r w:rsidRPr="00623EE6">
        <w:t xml:space="preserve"> Turning Point Scotland.</w:t>
      </w:r>
    </w:p>
    <w:p w14:paraId="65464905" w14:textId="77777777" w:rsidR="00CE1B48" w:rsidRPr="00623EE6" w:rsidRDefault="00CE1B48">
      <w:pPr>
        <w:spacing w:line="240" w:lineRule="auto"/>
        <w:rPr>
          <w:rFonts w:ascii="Open Sans SemiBold" w:eastAsiaTheme="majorEastAsia" w:hAnsi="Open Sans SemiBold" w:cstheme="majorBidi"/>
          <w:b/>
          <w:color w:val="auto"/>
          <w:szCs w:val="26"/>
        </w:rPr>
      </w:pPr>
      <w:r w:rsidRPr="00623EE6">
        <w:rPr>
          <w:color w:val="auto"/>
        </w:rPr>
        <w:br w:type="page"/>
      </w:r>
    </w:p>
    <w:p w14:paraId="22BAE95E" w14:textId="511672FE" w:rsidR="00427ACB" w:rsidRPr="00623EE6" w:rsidRDefault="00427ACB" w:rsidP="003F3086">
      <w:pPr>
        <w:pStyle w:val="Heading2"/>
        <w:rPr>
          <w:lang w:val="en-GB"/>
        </w:rPr>
      </w:pPr>
      <w:bookmarkStart w:id="22" w:name="_Toc193901796"/>
      <w:r w:rsidRPr="00623EE6">
        <w:rPr>
          <w:lang w:val="en-GB"/>
        </w:rPr>
        <w:lastRenderedPageBreak/>
        <w:t>Priority Action 9: Enhance individuals’ life skills and readiness for employment by ensuring increased access to employability support through effective education, learning, training, career services and relevant benefit services</w:t>
      </w:r>
      <w:bookmarkEnd w:id="22"/>
    </w:p>
    <w:p w14:paraId="75C2165F" w14:textId="77777777" w:rsidR="007D58B3" w:rsidRPr="00623EE6" w:rsidRDefault="007D58B3" w:rsidP="007D58B3">
      <w:pPr>
        <w:pStyle w:val="Heading3"/>
      </w:pPr>
      <w:r w:rsidRPr="00623EE6">
        <w:t>Performance</w:t>
      </w:r>
    </w:p>
    <w:p w14:paraId="31E12A3B" w14:textId="77777777" w:rsidR="007D58B3" w:rsidRPr="00623EE6" w:rsidRDefault="007D58B3" w:rsidP="007D58B3">
      <w:pPr>
        <w:spacing w:line="240" w:lineRule="auto"/>
        <w:rPr>
          <w:rFonts w:eastAsiaTheme="majorEastAsia" w:cs="Arial"/>
          <w:color w:val="auto"/>
        </w:rPr>
      </w:pPr>
      <w:r w:rsidRPr="00623EE6">
        <w:rPr>
          <w:rFonts w:eastAsiaTheme="majorEastAsia" w:cs="Arial"/>
          <w:b/>
          <w:bCs/>
          <w:color w:val="auto"/>
        </w:rPr>
        <w:t>National outcome:</w:t>
      </w:r>
      <w:r w:rsidRPr="00623EE6">
        <w:rPr>
          <w:rFonts w:eastAsiaTheme="majorEastAsia" w:cs="Arial"/>
          <w:color w:val="auto"/>
        </w:rPr>
        <w:t xml:space="preserve"> </w:t>
      </w:r>
    </w:p>
    <w:p w14:paraId="261DECAE" w14:textId="77777777" w:rsidR="007D58B3" w:rsidRPr="00623EE6" w:rsidRDefault="007D58B3" w:rsidP="007D58B3">
      <w:pPr>
        <w:rPr>
          <w:rFonts w:eastAsiaTheme="majorEastAsia" w:cs="Arial"/>
          <w:color w:val="auto"/>
        </w:rPr>
      </w:pPr>
      <w:r w:rsidRPr="00623EE6">
        <w:rPr>
          <w:rFonts w:eastAsiaTheme="majorEastAsia" w:cs="Arial"/>
          <w:color w:val="auto"/>
        </w:rPr>
        <w:t>More people with convictions access support to enhance their readiness for employment</w:t>
      </w:r>
    </w:p>
    <w:p w14:paraId="650DA17B" w14:textId="77777777" w:rsidR="007D58B3" w:rsidRPr="00623EE6" w:rsidRDefault="007D58B3" w:rsidP="007D58B3">
      <w:pPr>
        <w:spacing w:line="240" w:lineRule="auto"/>
        <w:rPr>
          <w:rFonts w:eastAsiaTheme="majorEastAsia" w:cs="Arial"/>
          <w:b/>
          <w:bCs/>
          <w:color w:val="auto"/>
        </w:rPr>
      </w:pPr>
      <w:r w:rsidRPr="00623EE6">
        <w:rPr>
          <w:rFonts w:eastAsiaTheme="majorEastAsia" w:cs="Arial"/>
          <w:b/>
          <w:bCs/>
          <w:color w:val="auto"/>
        </w:rPr>
        <w:t>National indicator:</w:t>
      </w:r>
    </w:p>
    <w:p w14:paraId="56F8D675" w14:textId="3339B47A" w:rsidR="007D58B3" w:rsidRPr="00623EE6" w:rsidRDefault="0075069C" w:rsidP="001223CA">
      <w:pPr>
        <w:pStyle w:val="ListParagraph"/>
        <w:numPr>
          <w:ilvl w:val="0"/>
          <w:numId w:val="15"/>
        </w:numPr>
        <w:spacing w:line="240" w:lineRule="auto"/>
        <w:rPr>
          <w:rFonts w:eastAsiaTheme="majorEastAsia" w:cs="Arial"/>
          <w:color w:val="auto"/>
        </w:rPr>
      </w:pPr>
      <w:r>
        <w:rPr>
          <w:rFonts w:eastAsiaTheme="majorEastAsia" w:cs="Arial"/>
          <w:color w:val="auto"/>
        </w:rPr>
        <w:t>P</w:t>
      </w:r>
      <w:r w:rsidR="007D58B3" w:rsidRPr="00623EE6">
        <w:rPr>
          <w:rFonts w:eastAsiaTheme="majorEastAsia" w:cs="Arial"/>
          <w:color w:val="auto"/>
        </w:rPr>
        <w:t>ercentage of those in employability services with convictions</w:t>
      </w:r>
    </w:p>
    <w:p w14:paraId="23481A20" w14:textId="77777777" w:rsidR="007D58B3" w:rsidRDefault="007D58B3" w:rsidP="007D58B3">
      <w:pPr>
        <w:rPr>
          <w:rFonts w:eastAsiaTheme="majorEastAsia" w:cs="Arial"/>
          <w:color w:val="auto"/>
        </w:rPr>
      </w:pPr>
      <w:r w:rsidRPr="00623EE6">
        <w:rPr>
          <w:rFonts w:eastAsiaTheme="majorEastAsia" w:cs="Arial"/>
          <w:color w:val="auto"/>
        </w:rPr>
        <w:t xml:space="preserve">This is the first year of data collection for this indicator and without wider trends it is difficult to infer much. While only </w:t>
      </w:r>
      <w:r w:rsidRPr="007D58B3">
        <w:rPr>
          <w:rFonts w:eastAsiaTheme="majorEastAsia" w:cs="Arial"/>
          <w:b/>
          <w:bCs/>
          <w:color w:val="auto"/>
        </w:rPr>
        <w:t>6%</w:t>
      </w:r>
      <w:r w:rsidRPr="00623EE6">
        <w:rPr>
          <w:rFonts w:eastAsiaTheme="majorEastAsia" w:cs="Arial"/>
          <w:color w:val="auto"/>
        </w:rPr>
        <w:t xml:space="preserve"> of No One Left Behind participants (</w:t>
      </w:r>
      <w:r w:rsidRPr="007D58B3">
        <w:rPr>
          <w:rFonts w:eastAsiaTheme="majorEastAsia" w:cs="Arial"/>
          <w:b/>
          <w:bCs/>
          <w:color w:val="auto"/>
        </w:rPr>
        <w:t>1,338</w:t>
      </w:r>
      <w:r w:rsidRPr="00623EE6">
        <w:rPr>
          <w:rFonts w:eastAsiaTheme="majorEastAsia" w:cs="Arial"/>
          <w:color w:val="auto"/>
        </w:rPr>
        <w:t xml:space="preserve">) were marked as having a previous conviction, the information tends to get recorded against referrals from justice agencies or when an individual discloses a barrier relating to a previous conviction the first time they attend a service. </w:t>
      </w:r>
    </w:p>
    <w:p w14:paraId="201F0C60" w14:textId="77777777" w:rsidR="007D58B3" w:rsidRPr="00623EE6" w:rsidRDefault="007D58B3" w:rsidP="007D58B3">
      <w:pPr>
        <w:rPr>
          <w:rFonts w:eastAsiaTheme="majorEastAsia" w:cs="Arial"/>
          <w:color w:val="auto"/>
        </w:rPr>
      </w:pPr>
      <w:r w:rsidRPr="00623EE6">
        <w:rPr>
          <w:rFonts w:eastAsiaTheme="majorEastAsia" w:cs="Arial"/>
          <w:color w:val="auto"/>
        </w:rPr>
        <w:t xml:space="preserve">Therefore, there is likely to be under-recording. </w:t>
      </w:r>
      <w:r w:rsidRPr="001863D0">
        <w:rPr>
          <w:rFonts w:eastAsiaTheme="majorEastAsia" w:cs="Arial"/>
          <w:color w:val="auto"/>
        </w:rPr>
        <w:t>The baseline year for this indicator is 2023-24, the first year for which data is available.</w:t>
      </w:r>
    </w:p>
    <w:p w14:paraId="622A950A" w14:textId="77777777" w:rsidR="007D58B3" w:rsidRPr="00623EE6" w:rsidRDefault="007D58B3" w:rsidP="007D58B3">
      <w:pPr>
        <w:rPr>
          <w:rFonts w:eastAsiaTheme="majorEastAsia" w:cs="Arial"/>
          <w:color w:val="auto"/>
        </w:rPr>
      </w:pPr>
      <w:r w:rsidRPr="00623EE6">
        <w:rPr>
          <w:rFonts w:eastAsiaTheme="majorEastAsia" w:cs="Arial"/>
          <w:color w:val="auto"/>
        </w:rPr>
        <w:t>There is no available data to investigate the extent to which this disconnect is a problem relating to data and to what extent it might be a problem relating to the reach of the No One Left Behind programme to engage people with criminal convictions. Employability support also exists outside No One Left Behind and so this is not a comprehensive tally of employability support pathways.</w:t>
      </w:r>
    </w:p>
    <w:p w14:paraId="16A49C7E" w14:textId="77777777" w:rsidR="007D58B3" w:rsidRPr="00623EE6" w:rsidRDefault="007D58B3" w:rsidP="007D58B3">
      <w:pPr>
        <w:rPr>
          <w:rFonts w:eastAsiaTheme="majorEastAsia" w:cs="Arial"/>
          <w:color w:val="auto"/>
        </w:rPr>
      </w:pPr>
      <w:r w:rsidRPr="00623EE6">
        <w:rPr>
          <w:rFonts w:eastAsiaTheme="majorEastAsia" w:cs="Arial"/>
          <w:color w:val="auto"/>
        </w:rPr>
        <w:t>The picture of progress is inconsistent across local areas.</w:t>
      </w:r>
    </w:p>
    <w:p w14:paraId="44144AEA" w14:textId="77777777" w:rsidR="007D58B3" w:rsidRPr="00623EE6" w:rsidRDefault="007D58B3" w:rsidP="007D58B3">
      <w:pPr>
        <w:rPr>
          <w:lang w:eastAsia="en-GB"/>
        </w:rPr>
      </w:pPr>
      <w:r w:rsidRPr="00623EE6">
        <w:rPr>
          <w:color w:val="auto"/>
          <w:lang w:eastAsia="en-GB"/>
        </w:rPr>
        <w:t xml:space="preserve">For more information about the indicator see </w:t>
      </w:r>
      <w:hyperlink r:id="rId49" w:history="1">
        <w:r w:rsidRPr="00623EE6">
          <w:rPr>
            <w:rStyle w:val="Hyperlink"/>
            <w:lang w:eastAsia="en-GB"/>
          </w:rPr>
          <w:t>Community Justice Performance Framework: guidance and technical notes, version 2</w:t>
        </w:r>
      </w:hyperlink>
      <w:r w:rsidRPr="00623EE6">
        <w:t>.</w:t>
      </w:r>
    </w:p>
    <w:p w14:paraId="598AD53D" w14:textId="77777777" w:rsidR="007D58B3" w:rsidRPr="00623EE6" w:rsidRDefault="007D58B3" w:rsidP="007D58B3">
      <w:pPr>
        <w:pStyle w:val="Heading3"/>
      </w:pPr>
      <w:r w:rsidRPr="00623EE6">
        <w:t>Wider evidence</w:t>
      </w:r>
    </w:p>
    <w:p w14:paraId="3E236405" w14:textId="77777777" w:rsidR="007D58B3" w:rsidRPr="00623EE6" w:rsidRDefault="007D58B3" w:rsidP="007D58B3">
      <w:pPr>
        <w:rPr>
          <w:rFonts w:eastAsiaTheme="majorEastAsia" w:cs="Arial"/>
          <w:color w:val="auto"/>
        </w:rPr>
      </w:pPr>
      <w:r w:rsidRPr="00623EE6">
        <w:rPr>
          <w:rFonts w:eastAsiaTheme="majorEastAsia" w:cs="Arial"/>
          <w:color w:val="auto"/>
        </w:rPr>
        <w:t>During the reporting year, the Scottish Government hosted a series of ‘</w:t>
      </w:r>
      <w:hyperlink r:id="rId50" w:history="1">
        <w:r w:rsidRPr="00623EE6">
          <w:rPr>
            <w:rStyle w:val="Hyperlink"/>
            <w:rFonts w:eastAsiaTheme="majorEastAsia" w:cs="Arial"/>
            <w:color w:val="auto"/>
          </w:rPr>
          <w:t>No one left behind national discussion events</w:t>
        </w:r>
      </w:hyperlink>
      <w:r w:rsidRPr="00623EE6">
        <w:rPr>
          <w:rFonts w:eastAsiaTheme="majorEastAsia" w:cs="Arial"/>
          <w:color w:val="auto"/>
        </w:rPr>
        <w:t>‘ to facilitate the development of a revised strategy.</w:t>
      </w:r>
    </w:p>
    <w:p w14:paraId="6EC0EC01" w14:textId="77777777" w:rsidR="007D58B3" w:rsidRPr="00623EE6" w:rsidRDefault="007D58B3" w:rsidP="007D58B3">
      <w:pPr>
        <w:rPr>
          <w:rFonts w:eastAsiaTheme="majorEastAsia" w:cs="Arial"/>
          <w:color w:val="auto"/>
        </w:rPr>
      </w:pPr>
      <w:r w:rsidRPr="00623EE6">
        <w:rPr>
          <w:rFonts w:eastAsiaTheme="majorEastAsia" w:cs="Arial"/>
          <w:color w:val="auto"/>
        </w:rPr>
        <w:t xml:space="preserve">Skills Development Scotland (SDS), SPS, third sector organisations and other stakeholders are supporting this to </w:t>
      </w:r>
      <w:r w:rsidRPr="007D58B3">
        <w:rPr>
          <w:rFonts w:eastAsiaTheme="majorEastAsia" w:cs="Arial"/>
          <w:b/>
          <w:bCs/>
          <w:color w:val="auto"/>
        </w:rPr>
        <w:t>create pathways</w:t>
      </w:r>
      <w:r w:rsidRPr="00623EE6">
        <w:rPr>
          <w:rFonts w:eastAsiaTheme="majorEastAsia" w:cs="Arial"/>
          <w:color w:val="auto"/>
        </w:rPr>
        <w:t xml:space="preserve"> for employment and skills development.</w:t>
      </w:r>
    </w:p>
    <w:p w14:paraId="7A2ADA8C" w14:textId="77777777" w:rsidR="007D58B3" w:rsidRPr="00623EE6" w:rsidRDefault="007D58B3" w:rsidP="007D58B3">
      <w:pPr>
        <w:rPr>
          <w:rFonts w:eastAsiaTheme="majorEastAsia" w:cs="Arial"/>
          <w:color w:val="auto"/>
        </w:rPr>
      </w:pPr>
      <w:r w:rsidRPr="00623EE6">
        <w:rPr>
          <w:rFonts w:eastAsiaTheme="majorEastAsia" w:cs="Arial"/>
          <w:color w:val="auto"/>
        </w:rPr>
        <w:t>A new memorandum of understanding between SDS and SPS facilitates co-operation, setting out roles and responsibilities for national and local service delivery.</w:t>
      </w:r>
    </w:p>
    <w:p w14:paraId="590F142F" w14:textId="77777777" w:rsidR="007D58B3" w:rsidRDefault="007D58B3" w:rsidP="007D58B3">
      <w:pPr>
        <w:rPr>
          <w:rFonts w:eastAsiaTheme="majorEastAsia" w:cs="Arial"/>
          <w:color w:val="auto"/>
        </w:rPr>
      </w:pPr>
    </w:p>
    <w:p w14:paraId="32863B7F" w14:textId="77777777" w:rsidR="007D58B3" w:rsidRPr="007D58B3" w:rsidRDefault="007D58B3" w:rsidP="007D58B3">
      <w:pPr>
        <w:rPr>
          <w:rFonts w:eastAsiaTheme="majorEastAsia" w:cs="Arial"/>
          <w:b/>
          <w:bCs/>
          <w:color w:val="auto"/>
        </w:rPr>
      </w:pPr>
      <w:r w:rsidRPr="007D58B3">
        <w:rPr>
          <w:rFonts w:eastAsiaTheme="majorEastAsia" w:cs="Arial"/>
          <w:b/>
          <w:bCs/>
          <w:color w:val="auto"/>
        </w:rPr>
        <w:lastRenderedPageBreak/>
        <w:t>Identified Gaps</w:t>
      </w:r>
    </w:p>
    <w:p w14:paraId="62A54A9B" w14:textId="77777777" w:rsidR="007D58B3" w:rsidRPr="007D58B3" w:rsidRDefault="007D58B3" w:rsidP="001223CA">
      <w:pPr>
        <w:pStyle w:val="ListParagraph"/>
        <w:numPr>
          <w:ilvl w:val="0"/>
          <w:numId w:val="15"/>
        </w:numPr>
        <w:rPr>
          <w:rFonts w:eastAsiaTheme="majorEastAsia" w:cs="Arial"/>
          <w:color w:val="auto"/>
        </w:rPr>
      </w:pPr>
      <w:r w:rsidRPr="007D58B3">
        <w:rPr>
          <w:rFonts w:eastAsiaTheme="majorEastAsia" w:cs="Arial"/>
          <w:color w:val="auto"/>
        </w:rPr>
        <w:t>Annual and delayed funding cycles (such as those from No One Left Behind and the Shared Prosperity Fund) limit long-term planning, making it difficult to deliver long-term projects.</w:t>
      </w:r>
    </w:p>
    <w:p w14:paraId="7A2C037B" w14:textId="316FF247" w:rsidR="007D58B3" w:rsidRPr="007D58B3" w:rsidRDefault="0075069C" w:rsidP="001223CA">
      <w:pPr>
        <w:pStyle w:val="ListParagraph"/>
        <w:numPr>
          <w:ilvl w:val="0"/>
          <w:numId w:val="15"/>
        </w:numPr>
        <w:rPr>
          <w:rFonts w:eastAsiaTheme="majorEastAsia" w:cs="Arial"/>
          <w:color w:val="auto"/>
        </w:rPr>
      </w:pPr>
      <w:r>
        <w:rPr>
          <w:rFonts w:eastAsiaTheme="majorEastAsia" w:cs="Arial"/>
          <w:color w:val="auto"/>
        </w:rPr>
        <w:t>T</w:t>
      </w:r>
      <w:r w:rsidR="007D58B3" w:rsidRPr="007D58B3">
        <w:rPr>
          <w:rFonts w:eastAsiaTheme="majorEastAsia" w:cs="Arial"/>
          <w:color w:val="auto"/>
        </w:rPr>
        <w:t>he need for better data collection on justice-involved individuals, limited resources for individuals with complex needs, and challenges in providing sustainable services in small communities.</w:t>
      </w:r>
    </w:p>
    <w:p w14:paraId="058E8A76" w14:textId="77777777" w:rsidR="007D58B3" w:rsidRDefault="007D58B3" w:rsidP="007D58B3">
      <w:pPr>
        <w:rPr>
          <w:rFonts w:eastAsiaTheme="majorEastAsia" w:cs="Arial"/>
          <w:color w:val="auto"/>
        </w:rPr>
      </w:pPr>
    </w:p>
    <w:p w14:paraId="48627F3F" w14:textId="77777777" w:rsidR="007D58B3" w:rsidRPr="007D58B3" w:rsidRDefault="007D58B3" w:rsidP="007D58B3">
      <w:pPr>
        <w:rPr>
          <w:rFonts w:eastAsiaTheme="majorEastAsia" w:cs="Arial"/>
          <w:b/>
          <w:bCs/>
          <w:color w:val="auto"/>
          <w:sz w:val="28"/>
          <w:szCs w:val="28"/>
        </w:rPr>
      </w:pPr>
      <w:r w:rsidRPr="007D58B3">
        <w:rPr>
          <w:rFonts w:eastAsiaTheme="majorEastAsia" w:cs="Arial"/>
          <w:b/>
          <w:bCs/>
          <w:color w:val="auto"/>
          <w:sz w:val="28"/>
          <w:szCs w:val="28"/>
        </w:rPr>
        <w:t>Future Opportunities</w:t>
      </w:r>
    </w:p>
    <w:p w14:paraId="05B87E70" w14:textId="77777777" w:rsidR="007D58B3" w:rsidRPr="00623EE6" w:rsidRDefault="007D58B3" w:rsidP="007D58B3">
      <w:pPr>
        <w:rPr>
          <w:rFonts w:eastAsiaTheme="majorEastAsia" w:cs="Arial"/>
          <w:color w:val="auto"/>
        </w:rPr>
      </w:pPr>
      <w:r w:rsidRPr="00623EE6">
        <w:rPr>
          <w:rFonts w:eastAsiaTheme="majorEastAsia" w:cs="Arial"/>
          <w:color w:val="auto"/>
        </w:rPr>
        <w:t xml:space="preserve">There are opportunities presented by the Management of Offenders (Scotland) Act 2019, especially for people serving community orders for whom achieving spent convictions is more realistic. While some areas describe processes to support people to disclose their previous convictions, there appears to be </w:t>
      </w:r>
      <w:r w:rsidRPr="007D58B3">
        <w:rPr>
          <w:rFonts w:eastAsiaTheme="majorEastAsia" w:cs="Arial"/>
          <w:b/>
          <w:bCs/>
          <w:color w:val="auto"/>
        </w:rPr>
        <w:t>gaps in the way people are reached</w:t>
      </w:r>
      <w:r w:rsidRPr="00623EE6">
        <w:rPr>
          <w:rFonts w:eastAsiaTheme="majorEastAsia" w:cs="Arial"/>
          <w:color w:val="auto"/>
        </w:rPr>
        <w:t xml:space="preserve"> with the information and support they require.</w:t>
      </w:r>
    </w:p>
    <w:p w14:paraId="11D74D68" w14:textId="77777777" w:rsidR="007D58B3" w:rsidRPr="00623EE6" w:rsidRDefault="007D58B3" w:rsidP="007D58B3">
      <w:pPr>
        <w:rPr>
          <w:rFonts w:eastAsiaTheme="majorEastAsia" w:cs="Arial"/>
          <w:color w:val="auto"/>
        </w:rPr>
      </w:pPr>
      <w:r w:rsidRPr="00623EE6">
        <w:rPr>
          <w:rFonts w:eastAsiaTheme="majorEastAsia" w:cs="Arial"/>
          <w:color w:val="auto"/>
        </w:rPr>
        <w:t xml:space="preserve">The reach of No One Left Behind programmes, for which, nationally, only 6% of participants have a criminal conviction, is worth investigating. To what extent is this figure so low due to data collection constraints and/or to what extent are there </w:t>
      </w:r>
      <w:r w:rsidRPr="007D58B3">
        <w:rPr>
          <w:rFonts w:eastAsiaTheme="majorEastAsia" w:cs="Arial"/>
          <w:b/>
          <w:bCs/>
          <w:color w:val="auto"/>
        </w:rPr>
        <w:t>ongoing difficulties in reaching people</w:t>
      </w:r>
      <w:r w:rsidRPr="00623EE6">
        <w:rPr>
          <w:rFonts w:eastAsiaTheme="majorEastAsia" w:cs="Arial"/>
          <w:color w:val="auto"/>
        </w:rPr>
        <w:t xml:space="preserve"> left behind if they have previous convictions?</w:t>
      </w:r>
    </w:p>
    <w:p w14:paraId="0BC14389" w14:textId="77777777" w:rsidR="007D58B3" w:rsidRPr="00623EE6" w:rsidRDefault="007D58B3" w:rsidP="007D58B3">
      <w:pPr>
        <w:rPr>
          <w:rFonts w:eastAsiaTheme="majorEastAsia" w:cs="Arial"/>
          <w:color w:val="auto"/>
        </w:rPr>
      </w:pPr>
      <w:r w:rsidRPr="00623EE6">
        <w:rPr>
          <w:rFonts w:eastAsiaTheme="majorEastAsia" w:cs="Arial"/>
          <w:color w:val="auto"/>
        </w:rPr>
        <w:t>Direct links to employers to support people leaving prison could support improved outcomes. The recently developed relationships with employers provide opportunities for a feedback and ambassadorial approach for improving outcomes for employers and people being liberated. The planned development of Employment Advisory Boards by SPS in 2025 should provide an opportunity to further strengthen pathways to sustained employment after prison.</w:t>
      </w:r>
    </w:p>
    <w:p w14:paraId="10488D74" w14:textId="77777777" w:rsidR="007D58B3" w:rsidRDefault="007D58B3" w:rsidP="007D58B3">
      <w:pPr>
        <w:rPr>
          <w:rFonts w:eastAsiaTheme="majorEastAsia" w:cs="Arial"/>
          <w:color w:val="auto"/>
        </w:rPr>
      </w:pPr>
    </w:p>
    <w:p w14:paraId="4A6754D6" w14:textId="77777777" w:rsidR="007D58B3" w:rsidRPr="007D58B3" w:rsidRDefault="007D58B3" w:rsidP="007D58B3">
      <w:pPr>
        <w:rPr>
          <w:rFonts w:eastAsiaTheme="majorEastAsia" w:cs="Arial"/>
          <w:b/>
          <w:bCs/>
          <w:color w:val="auto"/>
          <w:sz w:val="32"/>
          <w:szCs w:val="32"/>
        </w:rPr>
      </w:pPr>
      <w:r w:rsidRPr="007D58B3">
        <w:rPr>
          <w:rFonts w:eastAsiaTheme="majorEastAsia" w:cs="Arial"/>
          <w:b/>
          <w:bCs/>
          <w:color w:val="auto"/>
          <w:sz w:val="32"/>
          <w:szCs w:val="32"/>
        </w:rPr>
        <w:t>Third Sector support</w:t>
      </w:r>
    </w:p>
    <w:p w14:paraId="5813C8D3" w14:textId="792E6A55" w:rsidR="00CE1B48" w:rsidRPr="001863D0" w:rsidRDefault="007D58B3" w:rsidP="007D58B3">
      <w:pPr>
        <w:rPr>
          <w:rFonts w:eastAsiaTheme="majorEastAsia" w:cs="Arial"/>
          <w:color w:val="auto"/>
        </w:rPr>
      </w:pPr>
      <w:r w:rsidRPr="001863D0">
        <w:rPr>
          <w:rFonts w:eastAsiaTheme="majorEastAsia" w:cs="Arial"/>
          <w:color w:val="auto"/>
        </w:rPr>
        <w:t xml:space="preserve">Third sector organisations play a pivotal role in supporting statutory services in the support of people in communities. The following organisations were specifically mentioned by local partnerships under this priority action: </w:t>
      </w:r>
      <w:r w:rsidRPr="00623EE6">
        <w:rPr>
          <w:rFonts w:eastAsiaTheme="majorEastAsia" w:cs="Arial"/>
          <w:color w:val="auto"/>
        </w:rPr>
        <w:t>Access to Industry, Apex Scotland, BRAG Enterprises, Carr Gomm, Clackmannanshire Economic Regeneration Trust (CERT), Creative Change Collective, Cyrenians, Enable Works, Heavy Sound, New Start Highland, Positive Moves, Recovery Coaching Scotland, Remploy, Routes to Work, Shetland Community Bike Project (SCBP), Street Soccer Scotland, The Lennox Partnership, Tullochan Trust and Venture Trust.</w:t>
      </w:r>
      <w:r w:rsidR="00CE1B48" w:rsidRPr="001863D0">
        <w:rPr>
          <w:rFonts w:eastAsiaTheme="majorEastAsia" w:cs="Arial"/>
          <w:color w:val="auto"/>
        </w:rPr>
        <w:br w:type="page"/>
      </w:r>
    </w:p>
    <w:p w14:paraId="715F346E" w14:textId="431B895D" w:rsidR="00613E75" w:rsidRPr="00623EE6" w:rsidRDefault="00BE6549" w:rsidP="003F3086">
      <w:pPr>
        <w:pStyle w:val="Heading2"/>
        <w:rPr>
          <w:lang w:val="en-GB"/>
        </w:rPr>
      </w:pPr>
      <w:bookmarkStart w:id="23" w:name="_Toc193901797"/>
      <w:r w:rsidRPr="00623EE6">
        <w:rPr>
          <w:lang w:val="en-GB"/>
        </w:rPr>
        <w:lastRenderedPageBreak/>
        <w:t>Priority Action 10:</w:t>
      </w:r>
      <w:r w:rsidR="00884A0B" w:rsidRPr="00623EE6">
        <w:rPr>
          <w:lang w:val="en-GB"/>
        </w:rPr>
        <w:t xml:space="preserve"> </w:t>
      </w:r>
      <w:r w:rsidRPr="00623EE6">
        <w:rPr>
          <w:lang w:val="en-GB"/>
        </w:rPr>
        <w:t>Enhance community integration and support by increasing and promoting greater use of voluntary throughcare and third sector services</w:t>
      </w:r>
      <w:bookmarkEnd w:id="23"/>
    </w:p>
    <w:p w14:paraId="155FAB8B" w14:textId="77777777" w:rsidR="00A04551" w:rsidRPr="00623EE6" w:rsidRDefault="00A04551" w:rsidP="00A04551">
      <w:pPr>
        <w:pStyle w:val="Heading3"/>
        <w:rPr>
          <w:lang w:eastAsia="en-GB"/>
        </w:rPr>
      </w:pPr>
      <w:r w:rsidRPr="00623EE6">
        <w:rPr>
          <w:lang w:eastAsia="en-GB"/>
        </w:rPr>
        <w:t>Performance</w:t>
      </w:r>
    </w:p>
    <w:p w14:paraId="1244ABFF" w14:textId="77777777" w:rsidR="00A04551" w:rsidRPr="00623EE6" w:rsidRDefault="00A04551" w:rsidP="00A04551">
      <w:pPr>
        <w:rPr>
          <w:color w:val="auto"/>
          <w:lang w:eastAsia="en-GB"/>
        </w:rPr>
      </w:pPr>
      <w:r w:rsidRPr="00623EE6">
        <w:rPr>
          <w:b/>
          <w:bCs/>
          <w:color w:val="auto"/>
          <w:lang w:eastAsia="en-GB"/>
        </w:rPr>
        <w:t>National outcome</w:t>
      </w:r>
      <w:r w:rsidRPr="00623EE6">
        <w:rPr>
          <w:color w:val="auto"/>
          <w:lang w:eastAsia="en-GB"/>
        </w:rPr>
        <w:t>:</w:t>
      </w:r>
    </w:p>
    <w:p w14:paraId="6F870776" w14:textId="77777777" w:rsidR="00A04551" w:rsidRPr="00623EE6" w:rsidRDefault="00A04551" w:rsidP="00A04551">
      <w:pPr>
        <w:rPr>
          <w:color w:val="auto"/>
          <w:lang w:eastAsia="en-GB"/>
        </w:rPr>
      </w:pPr>
      <w:r w:rsidRPr="00623EE6">
        <w:rPr>
          <w:color w:val="auto"/>
          <w:lang w:eastAsia="en-GB"/>
        </w:rPr>
        <w:t>More people access voluntary throughcare following a short-term prison sentence</w:t>
      </w:r>
    </w:p>
    <w:p w14:paraId="2A36320E" w14:textId="77777777" w:rsidR="00A04551" w:rsidRPr="00623EE6" w:rsidRDefault="00A04551" w:rsidP="00A04551">
      <w:pPr>
        <w:rPr>
          <w:color w:val="auto"/>
          <w:lang w:eastAsia="en-GB"/>
        </w:rPr>
      </w:pPr>
      <w:r w:rsidRPr="00623EE6">
        <w:rPr>
          <w:b/>
          <w:bCs/>
          <w:color w:val="auto"/>
          <w:lang w:eastAsia="en-GB"/>
        </w:rPr>
        <w:t>National indicator:</w:t>
      </w:r>
      <w:r w:rsidRPr="00623EE6">
        <w:rPr>
          <w:color w:val="auto"/>
          <w:lang w:eastAsia="en-GB"/>
        </w:rPr>
        <w:t xml:space="preserve"> </w:t>
      </w:r>
    </w:p>
    <w:p w14:paraId="7C2B040C" w14:textId="7032ACE8" w:rsidR="00A04551" w:rsidRPr="00623EE6" w:rsidRDefault="0075069C" w:rsidP="001223CA">
      <w:pPr>
        <w:pStyle w:val="ListParagraph"/>
        <w:numPr>
          <w:ilvl w:val="1"/>
          <w:numId w:val="14"/>
        </w:numPr>
        <w:rPr>
          <w:color w:val="auto"/>
          <w:lang w:eastAsia="en-GB"/>
        </w:rPr>
      </w:pPr>
      <w:r>
        <w:rPr>
          <w:color w:val="auto"/>
          <w:lang w:eastAsia="en-GB"/>
        </w:rPr>
        <w:t>N</w:t>
      </w:r>
      <w:r w:rsidR="00A04551" w:rsidRPr="00623EE6">
        <w:rPr>
          <w:color w:val="auto"/>
          <w:lang w:eastAsia="en-GB"/>
        </w:rPr>
        <w:t>umber of voluntary throughcare cases commenced</w:t>
      </w:r>
    </w:p>
    <w:p w14:paraId="19472CB5" w14:textId="77777777" w:rsidR="00A04551" w:rsidRPr="001863D0" w:rsidRDefault="00A04551" w:rsidP="00A04551">
      <w:pPr>
        <w:rPr>
          <w:rFonts w:eastAsiaTheme="majorEastAsia" w:cs="Arial"/>
          <w:color w:val="auto"/>
        </w:rPr>
      </w:pPr>
      <w:r w:rsidRPr="001863D0">
        <w:rPr>
          <w:rFonts w:eastAsiaTheme="majorEastAsia" w:cs="Arial"/>
          <w:color w:val="auto"/>
        </w:rPr>
        <w:t>This indicator reflects only those individuals who directly engage with voluntary services provided by local social work teams. Other services are delivered through national and locally commissioned organisations, often offering broader support, including voluntary prison throughcare. There is no comprehensive tally capturing the full scope of service provision for individuals leaving prison and the picture is inconsistent across local areas. The implementation of a new national voluntary throughcare service from April 2025 offers an opportunity to provide a wider scope of service provision.</w:t>
      </w:r>
    </w:p>
    <w:p w14:paraId="5A8AE867" w14:textId="77777777" w:rsidR="00A04551" w:rsidRPr="00623EE6" w:rsidRDefault="00A04551" w:rsidP="00A04551">
      <w:pPr>
        <w:rPr>
          <w:color w:val="auto"/>
          <w:lang w:eastAsia="en-GB"/>
        </w:rPr>
      </w:pPr>
      <w:r w:rsidRPr="00623EE6">
        <w:rPr>
          <w:color w:val="auto"/>
          <w:lang w:eastAsia="en-GB"/>
        </w:rPr>
        <w:t>The data</w:t>
      </w:r>
      <w:r w:rsidRPr="00623EE6">
        <w:rPr>
          <w:rStyle w:val="FootnoteReference"/>
          <w:color w:val="auto"/>
          <w:lang w:eastAsia="en-GB"/>
        </w:rPr>
        <w:footnoteReference w:id="43"/>
      </w:r>
      <w:r w:rsidRPr="00623EE6">
        <w:rPr>
          <w:color w:val="auto"/>
          <w:lang w:eastAsia="en-GB"/>
        </w:rPr>
        <w:t xml:space="preserve"> is set out in the figure below.</w:t>
      </w:r>
    </w:p>
    <w:p w14:paraId="1E02B0A8" w14:textId="77777777" w:rsidR="00A04551" w:rsidRPr="00623EE6" w:rsidRDefault="00A04551" w:rsidP="00A04551">
      <w:pPr>
        <w:spacing w:before="100" w:beforeAutospacing="1" w:after="100" w:afterAutospacing="1" w:line="240" w:lineRule="auto"/>
        <w:rPr>
          <w:rFonts w:eastAsia="Times New Roman" w:cs="Segoe UI"/>
          <w:color w:val="auto"/>
          <w:szCs w:val="24"/>
          <w:lang w:eastAsia="en-GB"/>
        </w:rPr>
      </w:pPr>
      <w:r w:rsidRPr="00623EE6">
        <w:rPr>
          <w:b/>
          <w:bCs/>
          <w:noProof/>
        </w:rPr>
        <w:drawing>
          <wp:inline distT="0" distB="0" distL="0" distR="0" wp14:anchorId="7A6F3128" wp14:editId="16BDCDD6">
            <wp:extent cx="5731510" cy="2624455"/>
            <wp:effectExtent l="0" t="0" r="2540" b="4445"/>
            <wp:docPr id="587230149" name="Chart 1" descr="Graph of vonuntary throughcare indicator">
              <a:extLst xmlns:a="http://schemas.openxmlformats.org/drawingml/2006/main">
                <a:ext uri="{FF2B5EF4-FFF2-40B4-BE49-F238E27FC236}">
                  <a16:creationId xmlns:a16="http://schemas.microsoft.com/office/drawing/2014/main" id="{2F521FC4-9A0E-3969-CD43-92A10274F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3FCC75" w14:textId="77777777" w:rsidR="00A04551" w:rsidRPr="00623EE6" w:rsidRDefault="00A04551" w:rsidP="00A04551">
      <w:pPr>
        <w:rPr>
          <w:rFonts w:eastAsia="Times New Roman" w:cs="Segoe UI"/>
          <w:color w:val="auto"/>
          <w:szCs w:val="24"/>
          <w:lang w:eastAsia="en-GB"/>
        </w:rPr>
      </w:pPr>
      <w:r w:rsidRPr="00623EE6">
        <w:rPr>
          <w:color w:val="auto"/>
        </w:rPr>
        <w:t>The baseline year for this indicator is 2017-18 when the Community Justice (Scotland) Act 2016 was implemented.</w:t>
      </w:r>
    </w:p>
    <w:p w14:paraId="7293A3E1" w14:textId="77777777" w:rsidR="00A04551" w:rsidRPr="001863D0" w:rsidRDefault="00A04551" w:rsidP="00A04551">
      <w:pPr>
        <w:rPr>
          <w:color w:val="auto"/>
        </w:rPr>
      </w:pPr>
      <w:r w:rsidRPr="001863D0">
        <w:rPr>
          <w:color w:val="auto"/>
        </w:rPr>
        <w:lastRenderedPageBreak/>
        <w:t xml:space="preserve">There has been a </w:t>
      </w:r>
      <w:r w:rsidRPr="00A04551">
        <w:rPr>
          <w:b/>
          <w:bCs/>
          <w:color w:val="auto"/>
        </w:rPr>
        <w:t>notable reduction</w:t>
      </w:r>
      <w:r w:rsidRPr="001863D0">
        <w:rPr>
          <w:color w:val="auto"/>
        </w:rPr>
        <w:t xml:space="preserve"> in voluntary throughcare cases commenced, from 2,222 in 2016-17 to 1,868 in 2023-24. Inconsistencies persist in how voluntary throughcare is resourced across local authorities.</w:t>
      </w:r>
    </w:p>
    <w:p w14:paraId="2502E6DA" w14:textId="77777777" w:rsidR="00A04551" w:rsidRPr="001863D0" w:rsidRDefault="00A04551" w:rsidP="00A04551">
      <w:pPr>
        <w:rPr>
          <w:color w:val="auto"/>
        </w:rPr>
      </w:pPr>
      <w:r w:rsidRPr="001863D0">
        <w:rPr>
          <w:color w:val="auto"/>
        </w:rPr>
        <w:t>Additionally, individuals leaving prison after longer sentences, or those with special provisions attached to shorter sentences, are mandated to receive statutory throughcare, delivered by local authority social work services.</w:t>
      </w:r>
    </w:p>
    <w:p w14:paraId="7B5EF343" w14:textId="77777777" w:rsidR="00A04551" w:rsidRPr="001863D0" w:rsidRDefault="00A04551" w:rsidP="00A04551">
      <w:pPr>
        <w:rPr>
          <w:color w:val="auto"/>
        </w:rPr>
      </w:pPr>
      <w:r w:rsidRPr="001863D0">
        <w:rPr>
          <w:color w:val="auto"/>
        </w:rPr>
        <w:t>During the reporting year, collaborative work was undertaken to analyse gaps and establish what works in order to prepare for a new nationally commissioned model of throughcare which starts in April 2025.</w:t>
      </w:r>
    </w:p>
    <w:p w14:paraId="04A748C8" w14:textId="77777777" w:rsidR="00A04551" w:rsidRPr="00623EE6" w:rsidRDefault="00A04551" w:rsidP="00A04551">
      <w:pPr>
        <w:rPr>
          <w:lang w:eastAsia="en-GB"/>
        </w:rPr>
      </w:pPr>
      <w:r w:rsidRPr="00623EE6">
        <w:rPr>
          <w:color w:val="auto"/>
          <w:lang w:eastAsia="en-GB"/>
        </w:rPr>
        <w:t xml:space="preserve">For more information about the indicator see </w:t>
      </w:r>
      <w:hyperlink r:id="rId52" w:history="1">
        <w:r w:rsidRPr="00623EE6">
          <w:rPr>
            <w:rStyle w:val="Hyperlink"/>
            <w:lang w:eastAsia="en-GB"/>
          </w:rPr>
          <w:t>Community Justice Performance Framework: guidance and technical notes, version 2</w:t>
        </w:r>
      </w:hyperlink>
      <w:r w:rsidRPr="00623EE6">
        <w:t>.</w:t>
      </w:r>
    </w:p>
    <w:p w14:paraId="209FC273" w14:textId="77777777" w:rsidR="00A04551" w:rsidRPr="00623EE6" w:rsidRDefault="00A04551" w:rsidP="00A04551">
      <w:pPr>
        <w:pStyle w:val="Heading3"/>
        <w:rPr>
          <w:lang w:eastAsia="en-GB"/>
        </w:rPr>
      </w:pPr>
      <w:r w:rsidRPr="00623EE6">
        <w:rPr>
          <w:lang w:eastAsia="en-GB"/>
        </w:rPr>
        <w:t>Wider evidence</w:t>
      </w:r>
    </w:p>
    <w:p w14:paraId="2BF38C8C" w14:textId="77777777" w:rsidR="00A04551" w:rsidRPr="00623EE6" w:rsidRDefault="00A04551" w:rsidP="00A04551">
      <w:pPr>
        <w:rPr>
          <w:color w:val="auto"/>
        </w:rPr>
      </w:pPr>
      <w:r w:rsidRPr="00623EE6">
        <w:rPr>
          <w:color w:val="auto"/>
        </w:rPr>
        <w:t>Local authorities employ varied strategies and practices to deliver voluntary throughcare services. Partners recognise that engaging individuals in voluntary throughcare is complex, requiring flexible, trauma-informed and welcoming approaches that build trust and confidence. Services try to ensure that key workers address the personal issues that matter most to individuals.</w:t>
      </w:r>
    </w:p>
    <w:p w14:paraId="39639760" w14:textId="77777777" w:rsidR="00A04551" w:rsidRDefault="00A04551" w:rsidP="00A04551">
      <w:pPr>
        <w:spacing w:before="100" w:beforeAutospacing="1" w:after="100" w:afterAutospacing="1"/>
      </w:pPr>
      <w:r>
        <w:t>Voluntary throughcare is closely linked to </w:t>
      </w:r>
      <w:r>
        <w:rPr>
          <w:rStyle w:val="Strong"/>
        </w:rPr>
        <w:t>other key justice outcomes</w:t>
      </w:r>
      <w:r>
        <w:t>, including:</w:t>
      </w:r>
    </w:p>
    <w:p w14:paraId="3CB30069" w14:textId="77777777" w:rsidR="00A04551" w:rsidRPr="00A04551" w:rsidRDefault="00A04551" w:rsidP="001223CA">
      <w:pPr>
        <w:numPr>
          <w:ilvl w:val="0"/>
          <w:numId w:val="55"/>
        </w:numPr>
        <w:spacing w:before="100" w:beforeAutospacing="1" w:after="100" w:afterAutospacing="1" w:line="240" w:lineRule="auto"/>
        <w:rPr>
          <w:b/>
        </w:rPr>
      </w:pPr>
      <w:r w:rsidRPr="00A04551">
        <w:rPr>
          <w:rStyle w:val="Strong"/>
          <w:b w:val="0"/>
          <w:bCs w:val="0"/>
        </w:rPr>
        <w:t>Securing and maintaining stable accommodation</w:t>
      </w:r>
    </w:p>
    <w:p w14:paraId="3A23A160" w14:textId="77777777" w:rsidR="00A04551" w:rsidRPr="00A04551" w:rsidRDefault="00A04551" w:rsidP="001223CA">
      <w:pPr>
        <w:numPr>
          <w:ilvl w:val="0"/>
          <w:numId w:val="55"/>
        </w:numPr>
        <w:spacing w:before="100" w:beforeAutospacing="1" w:after="100" w:afterAutospacing="1" w:line="240" w:lineRule="auto"/>
        <w:rPr>
          <w:b/>
        </w:rPr>
      </w:pPr>
      <w:r w:rsidRPr="00A04551">
        <w:rPr>
          <w:rStyle w:val="Strong"/>
          <w:b w:val="0"/>
          <w:bCs w:val="0"/>
        </w:rPr>
        <w:t>Accessing healthcare services</w:t>
      </w:r>
    </w:p>
    <w:p w14:paraId="03F2A291" w14:textId="77777777" w:rsidR="00A04551" w:rsidRPr="00A04551" w:rsidRDefault="00A04551" w:rsidP="001223CA">
      <w:pPr>
        <w:numPr>
          <w:ilvl w:val="0"/>
          <w:numId w:val="55"/>
        </w:numPr>
        <w:spacing w:before="100" w:beforeAutospacing="1" w:after="100" w:afterAutospacing="1" w:line="240" w:lineRule="auto"/>
        <w:rPr>
          <w:b/>
        </w:rPr>
      </w:pPr>
      <w:r w:rsidRPr="00A04551">
        <w:rPr>
          <w:rStyle w:val="Strong"/>
          <w:b w:val="0"/>
          <w:bCs w:val="0"/>
        </w:rPr>
        <w:t>Improving employability</w:t>
      </w:r>
    </w:p>
    <w:p w14:paraId="0E533B1E" w14:textId="77777777" w:rsidR="00A04551" w:rsidRDefault="00A04551" w:rsidP="00A04551">
      <w:pPr>
        <w:spacing w:before="100" w:beforeAutospacing="1" w:after="100" w:afterAutospacing="1"/>
      </w:pPr>
      <w:r>
        <w:t>Effective </w:t>
      </w:r>
      <w:r>
        <w:rPr>
          <w:rStyle w:val="Strong"/>
        </w:rPr>
        <w:t>coordination across services</w:t>
      </w:r>
      <w:r>
        <w:t> is essential to enhancing engagement and ensuring </w:t>
      </w:r>
      <w:r>
        <w:rPr>
          <w:rStyle w:val="Strong"/>
        </w:rPr>
        <w:t>continuity of support post-release</w:t>
      </w:r>
      <w:r>
        <w:t>. Many partnerships have strengthened </w:t>
      </w:r>
      <w:r>
        <w:rPr>
          <w:rStyle w:val="Strong"/>
        </w:rPr>
        <w:t>pre-release activities</w:t>
      </w:r>
      <w:r>
        <w:t> to improve access to services after liberation.</w:t>
      </w:r>
    </w:p>
    <w:p w14:paraId="2A0FA858" w14:textId="6DA65B7C" w:rsidR="00A04551" w:rsidRPr="00A04551" w:rsidRDefault="00A04551" w:rsidP="00A04551">
      <w:pPr>
        <w:rPr>
          <w:b/>
          <w:bCs/>
          <w:color w:val="auto"/>
          <w:sz w:val="28"/>
          <w:szCs w:val="28"/>
        </w:rPr>
      </w:pPr>
      <w:r w:rsidRPr="00A04551">
        <w:rPr>
          <w:b/>
          <w:bCs/>
          <w:color w:val="auto"/>
          <w:sz w:val="28"/>
          <w:szCs w:val="28"/>
        </w:rPr>
        <w:t>Pre Release Planning</w:t>
      </w:r>
    </w:p>
    <w:p w14:paraId="3C729915" w14:textId="77777777" w:rsidR="00A04551" w:rsidRDefault="00A04551" w:rsidP="00A04551">
      <w:pPr>
        <w:spacing w:before="100" w:beforeAutospacing="1" w:after="100" w:afterAutospacing="1"/>
      </w:pPr>
      <w:r>
        <w:t>Local areas are improving </w:t>
      </w:r>
      <w:r w:rsidRPr="00A04551">
        <w:rPr>
          <w:rStyle w:val="Strong"/>
          <w:b w:val="0"/>
          <w:bCs w:val="0"/>
        </w:rPr>
        <w:t>information-sharing practices</w:t>
      </w:r>
      <w:r w:rsidRPr="00A04551">
        <w:rPr>
          <w:b/>
        </w:rPr>
        <w:t> </w:t>
      </w:r>
      <w:r w:rsidRPr="00F1215F">
        <w:rPr>
          <w:bCs/>
        </w:rPr>
        <w:t>between</w:t>
      </w:r>
      <w:r w:rsidRPr="00A04551">
        <w:rPr>
          <w:b/>
        </w:rPr>
        <w:t> </w:t>
      </w:r>
      <w:r w:rsidRPr="00A04551">
        <w:rPr>
          <w:rStyle w:val="Strong"/>
          <w:b w:val="0"/>
          <w:bCs w:val="0"/>
        </w:rPr>
        <w:t>justice social work, third-sector providers, and other agencies</w:t>
      </w:r>
      <w:r>
        <w:t> to support individuals as they transition from custody to the community. Strategies include:</w:t>
      </w:r>
    </w:p>
    <w:p w14:paraId="13678556" w14:textId="77777777" w:rsidR="00A04551" w:rsidRDefault="00A04551" w:rsidP="001223CA">
      <w:pPr>
        <w:numPr>
          <w:ilvl w:val="0"/>
          <w:numId w:val="56"/>
        </w:numPr>
        <w:spacing w:before="100" w:beforeAutospacing="1" w:after="100" w:afterAutospacing="1" w:line="240" w:lineRule="auto"/>
      </w:pPr>
      <w:r>
        <w:rPr>
          <w:rStyle w:val="Strong"/>
        </w:rPr>
        <w:t>Multi-agency meetings</w:t>
      </w:r>
      <w:r>
        <w:t> to coordinate support.</w:t>
      </w:r>
    </w:p>
    <w:p w14:paraId="0572EB65" w14:textId="77777777" w:rsidR="00A04551" w:rsidRDefault="00A04551" w:rsidP="001223CA">
      <w:pPr>
        <w:numPr>
          <w:ilvl w:val="0"/>
          <w:numId w:val="56"/>
        </w:numPr>
        <w:spacing w:before="100" w:beforeAutospacing="1" w:after="100" w:afterAutospacing="1" w:line="240" w:lineRule="auto"/>
      </w:pPr>
      <w:r>
        <w:rPr>
          <w:rStyle w:val="Strong"/>
        </w:rPr>
        <w:t>Digital tools</w:t>
      </w:r>
      <w:r>
        <w:t> to facilitate real-time information sharing.</w:t>
      </w:r>
    </w:p>
    <w:p w14:paraId="24BD292E" w14:textId="77777777" w:rsidR="00A04551" w:rsidRDefault="00A04551" w:rsidP="001223CA">
      <w:pPr>
        <w:numPr>
          <w:ilvl w:val="0"/>
          <w:numId w:val="56"/>
        </w:numPr>
        <w:spacing w:before="100" w:beforeAutospacing="1" w:after="100" w:afterAutospacing="1" w:line="240" w:lineRule="auto"/>
      </w:pPr>
      <w:r>
        <w:rPr>
          <w:rStyle w:val="Strong"/>
        </w:rPr>
        <w:t>Direct communication</w:t>
      </w:r>
      <w:r>
        <w:t> with individuals in custody to plan for their release.</w:t>
      </w:r>
    </w:p>
    <w:p w14:paraId="74B6DC20" w14:textId="4797CA7E" w:rsidR="00A04551" w:rsidRDefault="00A04551" w:rsidP="00A04551">
      <w:pPr>
        <w:rPr>
          <w:color w:val="auto"/>
        </w:rPr>
      </w:pPr>
      <w:r>
        <w:t>Many areas have also developed </w:t>
      </w:r>
      <w:r>
        <w:rPr>
          <w:rStyle w:val="Strong"/>
        </w:rPr>
        <w:t>structured pre-release processes</w:t>
      </w:r>
      <w:r>
        <w:t>, including </w:t>
      </w:r>
      <w:r w:rsidRPr="00A04551">
        <w:rPr>
          <w:rStyle w:val="Strong"/>
          <w:b w:val="0"/>
          <w:bCs w:val="0"/>
        </w:rPr>
        <w:t>multi-disciplinary case conferences</w:t>
      </w:r>
      <w:r>
        <w:t> and </w:t>
      </w:r>
      <w:r w:rsidRPr="00A04551">
        <w:rPr>
          <w:rStyle w:val="Strong"/>
          <w:b w:val="0"/>
          <w:bCs w:val="0"/>
        </w:rPr>
        <w:t>collaborations with third-sector providers</w:t>
      </w:r>
      <w:r>
        <w:t xml:space="preserve">, which </w:t>
      </w:r>
      <w:r>
        <w:lastRenderedPageBreak/>
        <w:t>have proven valuable in helping individuals transition successfully back into their communities.</w:t>
      </w:r>
    </w:p>
    <w:p w14:paraId="2627BD00" w14:textId="77777777" w:rsidR="00A04551" w:rsidRPr="00A04551" w:rsidRDefault="00A04551" w:rsidP="00A04551">
      <w:pPr>
        <w:rPr>
          <w:b/>
          <w:bCs/>
          <w:color w:val="auto"/>
          <w:sz w:val="28"/>
          <w:szCs w:val="28"/>
        </w:rPr>
      </w:pPr>
      <w:r w:rsidRPr="00A04551">
        <w:rPr>
          <w:b/>
          <w:bCs/>
          <w:color w:val="auto"/>
          <w:sz w:val="28"/>
          <w:szCs w:val="28"/>
        </w:rPr>
        <w:t>Challenges in Delivering Voluntary Throughcare</w:t>
      </w:r>
    </w:p>
    <w:p w14:paraId="5D8A68C3" w14:textId="25402901" w:rsidR="00A04551" w:rsidRDefault="00A04551" w:rsidP="00A04551">
      <w:pPr>
        <w:spacing w:before="100" w:beforeAutospacing="1" w:after="100" w:afterAutospacing="1"/>
      </w:pPr>
      <w:r>
        <w:t>Despite efforts to strengthen voluntary throughcare, </w:t>
      </w:r>
      <w:r w:rsidRPr="00A04551">
        <w:rPr>
          <w:rStyle w:val="Strong"/>
          <w:b w:val="0"/>
          <w:bCs w:val="0"/>
        </w:rPr>
        <w:t>several structural and resource challenges remain</w:t>
      </w:r>
      <w:r>
        <w:t>:</w:t>
      </w:r>
    </w:p>
    <w:p w14:paraId="21E1F0C9" w14:textId="77777777" w:rsidR="00A04551" w:rsidRDefault="00A04551" w:rsidP="001223CA">
      <w:pPr>
        <w:numPr>
          <w:ilvl w:val="0"/>
          <w:numId w:val="57"/>
        </w:numPr>
        <w:spacing w:before="100" w:beforeAutospacing="1" w:after="100" w:afterAutospacing="1" w:line="240" w:lineRule="auto"/>
      </w:pPr>
      <w:r>
        <w:rPr>
          <w:rStyle w:val="Strong"/>
        </w:rPr>
        <w:t>Outstanding warrants at the point of liberation</w:t>
      </w:r>
      <w:r>
        <w:t>: Some individuals are released from prison with unresolved legal matters, which can quickly lead to </w:t>
      </w:r>
      <w:r>
        <w:rPr>
          <w:rStyle w:val="Strong"/>
        </w:rPr>
        <w:t>re-arrest and remand</w:t>
      </w:r>
      <w:r>
        <w:t>, disrupting desistance efforts and placing additional strain on community support services.</w:t>
      </w:r>
    </w:p>
    <w:p w14:paraId="73DF10BB" w14:textId="77777777" w:rsidR="00A04551" w:rsidRDefault="00A04551" w:rsidP="001223CA">
      <w:pPr>
        <w:numPr>
          <w:ilvl w:val="0"/>
          <w:numId w:val="57"/>
        </w:numPr>
        <w:spacing w:before="100" w:beforeAutospacing="1" w:after="100" w:afterAutospacing="1" w:line="240" w:lineRule="auto"/>
      </w:pPr>
      <w:r>
        <w:rPr>
          <w:rStyle w:val="Strong"/>
        </w:rPr>
        <w:t>Speed of remand liberations</w:t>
      </w:r>
      <w:r>
        <w:t>: The </w:t>
      </w:r>
      <w:r w:rsidRPr="00A04551">
        <w:rPr>
          <w:rStyle w:val="Strong"/>
          <w:b w:val="0"/>
          <w:bCs w:val="0"/>
        </w:rPr>
        <w:t>unpredictability and short notice</w:t>
      </w:r>
      <w:r>
        <w:t> of remand releases make it difficult to provide </w:t>
      </w:r>
      <w:r w:rsidRPr="00A04551">
        <w:rPr>
          <w:rStyle w:val="Strong"/>
          <w:b w:val="0"/>
          <w:bCs w:val="0"/>
        </w:rPr>
        <w:t>immediate and effective support</w:t>
      </w:r>
      <w:r>
        <w:t>.</w:t>
      </w:r>
    </w:p>
    <w:p w14:paraId="4F91BB3C" w14:textId="77777777" w:rsidR="00A04551" w:rsidRDefault="00A04551" w:rsidP="001223CA">
      <w:pPr>
        <w:numPr>
          <w:ilvl w:val="0"/>
          <w:numId w:val="57"/>
        </w:numPr>
        <w:spacing w:before="100" w:beforeAutospacing="1" w:after="100" w:afterAutospacing="1" w:line="240" w:lineRule="auto"/>
      </w:pPr>
      <w:r>
        <w:rPr>
          <w:rStyle w:val="Strong"/>
        </w:rPr>
        <w:t>Extended remand periods</w:t>
      </w:r>
      <w:r>
        <w:t>: Longer remand durations create further challenges in sustaining engagement with support services upon release.</w:t>
      </w:r>
    </w:p>
    <w:p w14:paraId="24C8DCD1" w14:textId="77777777" w:rsidR="00A04551" w:rsidRDefault="00A04551" w:rsidP="001223CA">
      <w:pPr>
        <w:numPr>
          <w:ilvl w:val="0"/>
          <w:numId w:val="57"/>
        </w:numPr>
        <w:spacing w:before="100" w:beforeAutospacing="1" w:after="100" w:afterAutospacing="1" w:line="240" w:lineRule="auto"/>
      </w:pPr>
      <w:r>
        <w:rPr>
          <w:rStyle w:val="Strong"/>
        </w:rPr>
        <w:t>Staffing shortages and resource constraints</w:t>
      </w:r>
      <w:r>
        <w:t>: Many partnerships struggle to maintain voluntary throughcare due to</w:t>
      </w:r>
      <w:r w:rsidRPr="00A04551">
        <w:rPr>
          <w:b/>
          <w:bCs/>
        </w:rPr>
        <w:t> </w:t>
      </w:r>
      <w:r w:rsidRPr="00A04551">
        <w:rPr>
          <w:rStyle w:val="Strong"/>
          <w:b w:val="0"/>
        </w:rPr>
        <w:t>limited funding and workforce capacity</w:t>
      </w:r>
      <w:r w:rsidRPr="00A04551">
        <w:rPr>
          <w:b/>
          <w:bCs/>
        </w:rPr>
        <w:t>.</w:t>
      </w:r>
    </w:p>
    <w:p w14:paraId="15DE30CE" w14:textId="16A4215E" w:rsidR="00A04551" w:rsidRDefault="00A04551" w:rsidP="00A04551">
      <w:pPr>
        <w:rPr>
          <w:b/>
          <w:bCs/>
          <w:color w:val="auto"/>
          <w:sz w:val="28"/>
          <w:szCs w:val="28"/>
        </w:rPr>
      </w:pPr>
      <w:r w:rsidRPr="00623EE6">
        <w:rPr>
          <w:color w:val="auto"/>
        </w:rPr>
        <w:t>Despite challenges in sustaining voluntary throughcare support due to staffing shortages and limited resources, partnership working has leveraged resources to support throughcare service provision. Several new local services have either started or have been commissioned, and some social work services have managed to deploy extra resources to voluntary throughcare too.</w:t>
      </w:r>
      <w:r w:rsidRPr="0059186D">
        <w:t xml:space="preserve"> </w:t>
      </w:r>
      <w:r>
        <w:t>Some areas have established </w:t>
      </w:r>
      <w:r>
        <w:rPr>
          <w:rStyle w:val="Strong"/>
        </w:rPr>
        <w:t>long-standing local arrangements</w:t>
      </w:r>
      <w:r>
        <w:t> that continue to evolve.</w:t>
      </w:r>
    </w:p>
    <w:p w14:paraId="08031400" w14:textId="77777777" w:rsidR="00A04551" w:rsidRPr="00623EE6" w:rsidRDefault="00A04551" w:rsidP="00A04551">
      <w:pPr>
        <w:rPr>
          <w:color w:val="auto"/>
        </w:rPr>
      </w:pPr>
    </w:p>
    <w:p w14:paraId="4B800BE2" w14:textId="1182DC2C" w:rsidR="00A04551" w:rsidRPr="00623EE6" w:rsidRDefault="00A04551" w:rsidP="00A04551">
      <w:pPr>
        <w:rPr>
          <w:color w:val="auto"/>
        </w:rPr>
      </w:pPr>
      <w:r w:rsidRPr="00A04551">
        <w:rPr>
          <w:b/>
          <w:bCs/>
          <w:color w:val="auto"/>
          <w:sz w:val="28"/>
          <w:szCs w:val="28"/>
        </w:rPr>
        <w:t>Addressing the Support Gap for Remand Liberations</w:t>
      </w:r>
    </w:p>
    <w:p w14:paraId="0A54B718" w14:textId="77777777" w:rsidR="00A04551" w:rsidRPr="00623EE6" w:rsidRDefault="00A04551" w:rsidP="00A04551">
      <w:pPr>
        <w:rPr>
          <w:color w:val="auto"/>
        </w:rPr>
      </w:pPr>
      <w:r w:rsidRPr="00623EE6">
        <w:rPr>
          <w:color w:val="auto"/>
        </w:rPr>
        <w:t>The speed at which a remanded person is liberated from court, combined with the longer periods that people are remanded for, create ongoing structural challenges to provide support in ‘real time’.</w:t>
      </w:r>
    </w:p>
    <w:p w14:paraId="6F00CCF6" w14:textId="77777777" w:rsidR="00A04551" w:rsidRPr="00623EE6" w:rsidRDefault="00A04551" w:rsidP="00A04551">
      <w:pPr>
        <w:rPr>
          <w:color w:val="auto"/>
        </w:rPr>
      </w:pPr>
      <w:r w:rsidRPr="00623EE6">
        <w:rPr>
          <w:color w:val="auto"/>
        </w:rPr>
        <w:t>These findings highlight the importance of structured, collaborative and inclusive voluntary throughcare to support individuals’ transitions back into their communities and to reduce re-offending. At the same time, challenges with data collection, accessibility and resource limitations highlight areas needing further improvement.</w:t>
      </w:r>
    </w:p>
    <w:p w14:paraId="0CC3F0E2" w14:textId="77777777" w:rsidR="00A04551" w:rsidRDefault="00A04551" w:rsidP="00A04551">
      <w:pPr>
        <w:rPr>
          <w:color w:val="auto"/>
        </w:rPr>
      </w:pPr>
      <w:r w:rsidRPr="00623EE6">
        <w:rPr>
          <w:color w:val="auto"/>
        </w:rPr>
        <w:t xml:space="preserve">Significantly more people are liberated from remand than from the sentenced population. There has been a long-term gap in co-ordinating and resourcing support for them and reaching them with the support that is available. Some areas have made progress against this challenge. </w:t>
      </w:r>
    </w:p>
    <w:p w14:paraId="53FCB6C9" w14:textId="64452C38" w:rsidR="00A04551" w:rsidRDefault="00A04551" w:rsidP="00A04551">
      <w:pPr>
        <w:spacing w:before="100" w:beforeAutospacing="1" w:after="100" w:afterAutospacing="1"/>
      </w:pPr>
      <w:r>
        <w:lastRenderedPageBreak/>
        <w:t>A major limitation in evaluating voluntary throughcare services is the </w:t>
      </w:r>
      <w:r>
        <w:rPr>
          <w:rStyle w:val="Strong"/>
        </w:rPr>
        <w:t>lack of comprehensive data on service uptake, engagement, and long-term outcomes</w:t>
      </w:r>
      <w:r>
        <w:t>. Improved data collection is essential to:</w:t>
      </w:r>
    </w:p>
    <w:p w14:paraId="20FD2F10" w14:textId="77777777" w:rsidR="00A04551" w:rsidRPr="00A04551" w:rsidRDefault="00A04551" w:rsidP="001223CA">
      <w:pPr>
        <w:numPr>
          <w:ilvl w:val="0"/>
          <w:numId w:val="58"/>
        </w:numPr>
        <w:spacing w:before="100" w:beforeAutospacing="1" w:after="100" w:afterAutospacing="1" w:line="240" w:lineRule="auto"/>
        <w:rPr>
          <w:b/>
        </w:rPr>
      </w:pPr>
      <w:r w:rsidRPr="00A04551">
        <w:rPr>
          <w:rStyle w:val="Strong"/>
          <w:b w:val="0"/>
          <w:bCs w:val="0"/>
        </w:rPr>
        <w:t>Measure the effectiveness of voluntary throughcare interventions</w:t>
      </w:r>
      <w:r w:rsidRPr="00A04551">
        <w:rPr>
          <w:b/>
        </w:rPr>
        <w:t>.</w:t>
      </w:r>
    </w:p>
    <w:p w14:paraId="2C033DD3" w14:textId="77777777" w:rsidR="00A04551" w:rsidRPr="00A04551" w:rsidRDefault="00A04551" w:rsidP="001223CA">
      <w:pPr>
        <w:numPr>
          <w:ilvl w:val="0"/>
          <w:numId w:val="58"/>
        </w:numPr>
        <w:spacing w:before="100" w:beforeAutospacing="1" w:after="100" w:afterAutospacing="1" w:line="240" w:lineRule="auto"/>
        <w:rPr>
          <w:b/>
        </w:rPr>
      </w:pPr>
      <w:r w:rsidRPr="00A04551">
        <w:rPr>
          <w:rStyle w:val="Strong"/>
          <w:b w:val="0"/>
          <w:bCs w:val="0"/>
        </w:rPr>
        <w:t>Identify areas where additional resources are needed</w:t>
      </w:r>
      <w:r w:rsidRPr="00A04551">
        <w:rPr>
          <w:b/>
        </w:rPr>
        <w:t>.</w:t>
      </w:r>
    </w:p>
    <w:p w14:paraId="1367864C" w14:textId="77777777" w:rsidR="00A04551" w:rsidRPr="00A04551" w:rsidRDefault="00A04551" w:rsidP="001223CA">
      <w:pPr>
        <w:numPr>
          <w:ilvl w:val="0"/>
          <w:numId w:val="58"/>
        </w:numPr>
        <w:spacing w:before="100" w:beforeAutospacing="1" w:after="100" w:afterAutospacing="1" w:line="240" w:lineRule="auto"/>
        <w:rPr>
          <w:b/>
        </w:rPr>
      </w:pPr>
      <w:r w:rsidRPr="00A04551">
        <w:rPr>
          <w:rStyle w:val="Strong"/>
          <w:b w:val="0"/>
          <w:bCs w:val="0"/>
        </w:rPr>
        <w:t>Ensure that support services are reaching the individuals who need them most</w:t>
      </w:r>
      <w:r w:rsidRPr="00A04551">
        <w:rPr>
          <w:b/>
        </w:rPr>
        <w:t>.</w:t>
      </w:r>
    </w:p>
    <w:p w14:paraId="0597BF65" w14:textId="77777777" w:rsidR="00A04551" w:rsidRPr="00623EE6" w:rsidRDefault="00A04551" w:rsidP="00A04551">
      <w:pPr>
        <w:rPr>
          <w:color w:val="auto"/>
        </w:rPr>
      </w:pPr>
      <w:r>
        <w:rPr>
          <w:color w:val="auto"/>
        </w:rPr>
        <w:t>R</w:t>
      </w:r>
      <w:r w:rsidRPr="00623EE6">
        <w:rPr>
          <w:color w:val="auto"/>
        </w:rPr>
        <w:t>emand liberations will be within the scope of the new nationally commissioned voluntary throughcare service. This will commence in April 2025 and will build upon successes of current services like SHINE and New Routes.</w:t>
      </w:r>
    </w:p>
    <w:p w14:paraId="03021976" w14:textId="2E66827E" w:rsidR="00A04551" w:rsidRDefault="00A04551" w:rsidP="00A04551">
      <w:pPr>
        <w:rPr>
          <w:color w:val="auto"/>
        </w:rPr>
      </w:pPr>
      <w:r w:rsidRPr="00623EE6">
        <w:rPr>
          <w:color w:val="auto"/>
        </w:rPr>
        <w:t>Improved data collection is required, particularly for outcomes and service uptake and sustained engagement. Lack of data limits the ability to measure the long-term impact of services and to identify areas needing targeted support. CJS is seeking to improve this in our role as grant manager.</w:t>
      </w:r>
    </w:p>
    <w:p w14:paraId="029775A0" w14:textId="77777777" w:rsidR="00A04551" w:rsidRPr="00A04551" w:rsidRDefault="00A04551" w:rsidP="00A04551">
      <w:pPr>
        <w:rPr>
          <w:b/>
          <w:bCs/>
          <w:color w:val="auto"/>
          <w:sz w:val="28"/>
          <w:szCs w:val="28"/>
        </w:rPr>
      </w:pPr>
      <w:r w:rsidRPr="00A04551">
        <w:rPr>
          <w:b/>
          <w:bCs/>
          <w:color w:val="auto"/>
          <w:sz w:val="28"/>
          <w:szCs w:val="28"/>
        </w:rPr>
        <w:t>Key Third Sector Partners</w:t>
      </w:r>
    </w:p>
    <w:p w14:paraId="07881F9F" w14:textId="77777777" w:rsidR="00A04551" w:rsidRDefault="00A04551" w:rsidP="00A04551">
      <w:r w:rsidRPr="00623EE6">
        <w:rPr>
          <w:color w:val="auto"/>
        </w:rPr>
        <w:t>Third sector organisations play a pivotal role in supporting statutory services in the support of people in communities. The following organisations were specifically mentioned by local partnerships under this priority action:</w:t>
      </w:r>
      <w:r w:rsidRPr="00623EE6">
        <w:t xml:space="preserve"> Access to Industry, Apex Scotland, Change Grow Live, Churches Action for the Homeless (CATH), Crisis Skylight, Cyrenians, Families Outside, Inverclyde Faith in Throughcare, Lomond &amp; Argyll Advocacy Service (LAAS), Positive Steps Connections, Sacro, Shelter, The Circle Fund (SafeLives) and the Wise Group.</w:t>
      </w:r>
    </w:p>
    <w:p w14:paraId="0C31CC7C" w14:textId="77777777" w:rsidR="00A04551" w:rsidRDefault="00A04551" w:rsidP="00A04551"/>
    <w:p w14:paraId="7ACBC664" w14:textId="77777777" w:rsidR="00D4109B" w:rsidRDefault="00D4109B">
      <w:pPr>
        <w:spacing w:line="240" w:lineRule="auto"/>
        <w:rPr>
          <w:b/>
          <w:bCs/>
          <w:sz w:val="28"/>
          <w:szCs w:val="28"/>
        </w:rPr>
      </w:pPr>
      <w:r>
        <w:rPr>
          <w:b/>
          <w:bCs/>
          <w:sz w:val="28"/>
          <w:szCs w:val="28"/>
        </w:rPr>
        <w:br w:type="page"/>
      </w:r>
    </w:p>
    <w:p w14:paraId="6D7E65F6" w14:textId="39B89F80" w:rsidR="00A04551" w:rsidRPr="00A04551" w:rsidRDefault="00A04551" w:rsidP="00A04551">
      <w:pPr>
        <w:rPr>
          <w:b/>
          <w:bCs/>
          <w:sz w:val="28"/>
          <w:szCs w:val="28"/>
        </w:rPr>
      </w:pPr>
      <w:r w:rsidRPr="00A04551">
        <w:rPr>
          <w:b/>
          <w:bCs/>
          <w:sz w:val="28"/>
          <w:szCs w:val="28"/>
        </w:rPr>
        <w:lastRenderedPageBreak/>
        <w:t xml:space="preserve">Key </w:t>
      </w:r>
      <w:r>
        <w:rPr>
          <w:b/>
          <w:bCs/>
          <w:sz w:val="28"/>
          <w:szCs w:val="28"/>
        </w:rPr>
        <w:t>Elements for Focus</w:t>
      </w:r>
    </w:p>
    <w:p w14:paraId="251A8FDD" w14:textId="77777777" w:rsidR="00A04551" w:rsidRDefault="00A04551" w:rsidP="001223CA">
      <w:pPr>
        <w:numPr>
          <w:ilvl w:val="0"/>
          <w:numId w:val="59"/>
        </w:numPr>
        <w:spacing w:before="100" w:beforeAutospacing="1" w:after="100" w:afterAutospacing="1" w:line="240" w:lineRule="auto"/>
      </w:pPr>
      <w:r>
        <w:rPr>
          <w:rStyle w:val="Strong"/>
        </w:rPr>
        <w:t>Enhancing pre-release planning</w:t>
      </w:r>
      <w:r>
        <w:t> to ensure a smoother transition from custody to community.</w:t>
      </w:r>
    </w:p>
    <w:p w14:paraId="070DDE8A" w14:textId="77777777" w:rsidR="00A04551" w:rsidRDefault="00A04551" w:rsidP="001223CA">
      <w:pPr>
        <w:numPr>
          <w:ilvl w:val="0"/>
          <w:numId w:val="59"/>
        </w:numPr>
        <w:spacing w:before="100" w:beforeAutospacing="1" w:after="100" w:afterAutospacing="1" w:line="240" w:lineRule="auto"/>
      </w:pPr>
      <w:r>
        <w:rPr>
          <w:rStyle w:val="Strong"/>
        </w:rPr>
        <w:t>Developing targeted support for remand liberations</w:t>
      </w:r>
      <w:r>
        <w:t> through the new </w:t>
      </w:r>
      <w:r>
        <w:rPr>
          <w:rStyle w:val="Strong"/>
        </w:rPr>
        <w:t>national voluntary throughcare service</w:t>
      </w:r>
      <w:r>
        <w:t>.</w:t>
      </w:r>
    </w:p>
    <w:p w14:paraId="3A1F1206" w14:textId="77777777" w:rsidR="00A04551" w:rsidRDefault="00A04551" w:rsidP="001223CA">
      <w:pPr>
        <w:numPr>
          <w:ilvl w:val="0"/>
          <w:numId w:val="59"/>
        </w:numPr>
        <w:spacing w:before="100" w:beforeAutospacing="1" w:after="100" w:afterAutospacing="1" w:line="240" w:lineRule="auto"/>
      </w:pPr>
      <w:r>
        <w:rPr>
          <w:rStyle w:val="Strong"/>
        </w:rPr>
        <w:t>Addressing resource constraints</w:t>
      </w:r>
      <w:r>
        <w:t> to improve staffing capacity and service sustainability.</w:t>
      </w:r>
    </w:p>
    <w:p w14:paraId="55034B5E" w14:textId="77777777" w:rsidR="00A04551" w:rsidRDefault="00A04551" w:rsidP="001223CA">
      <w:pPr>
        <w:numPr>
          <w:ilvl w:val="0"/>
          <w:numId w:val="59"/>
        </w:numPr>
        <w:spacing w:before="100" w:beforeAutospacing="1" w:after="100" w:afterAutospacing="1" w:line="240" w:lineRule="auto"/>
      </w:pPr>
      <w:r>
        <w:rPr>
          <w:rStyle w:val="Strong"/>
        </w:rPr>
        <w:t>Strengthening data collection and evaluation</w:t>
      </w:r>
      <w:r>
        <w:t> to measure impact and inform future improvements.</w:t>
      </w:r>
    </w:p>
    <w:p w14:paraId="2ED1959F" w14:textId="77777777" w:rsidR="00B76E80" w:rsidRPr="00623EE6" w:rsidRDefault="00B76E80" w:rsidP="00C93A92">
      <w:pPr>
        <w:rPr>
          <w:color w:val="auto"/>
        </w:rPr>
      </w:pPr>
    </w:p>
    <w:p w14:paraId="32739950" w14:textId="13D5D767" w:rsidR="0015011E" w:rsidRPr="00623EE6" w:rsidRDefault="0015011E">
      <w:pPr>
        <w:spacing w:line="240" w:lineRule="auto"/>
        <w:rPr>
          <w:color w:val="auto"/>
        </w:rPr>
      </w:pPr>
      <w:r w:rsidRPr="00623EE6">
        <w:rPr>
          <w:color w:val="auto"/>
        </w:rPr>
        <w:br w:type="page"/>
      </w:r>
    </w:p>
    <w:p w14:paraId="349CAFC3" w14:textId="62092937" w:rsidR="00FB59CD" w:rsidRPr="00623EE6" w:rsidRDefault="00FB59CD" w:rsidP="00B456C1">
      <w:pPr>
        <w:pStyle w:val="Heading1"/>
      </w:pPr>
      <w:bookmarkStart w:id="24" w:name="_Toc193901798"/>
      <w:r w:rsidRPr="00623EE6">
        <w:lastRenderedPageBreak/>
        <w:t>National Aim 4. Strengthen the leadership, engagement, and partnership working of local and national community justice partners</w:t>
      </w:r>
      <w:bookmarkEnd w:id="24"/>
    </w:p>
    <w:p w14:paraId="085CC6D1" w14:textId="3870A65E" w:rsidR="00F44219" w:rsidRPr="00623EE6" w:rsidRDefault="00884A0B" w:rsidP="003F3086">
      <w:pPr>
        <w:pStyle w:val="Heading2"/>
        <w:rPr>
          <w:lang w:val="en-GB"/>
        </w:rPr>
      </w:pPr>
      <w:bookmarkStart w:id="25" w:name="_Toc193901799"/>
      <w:r w:rsidRPr="00623EE6">
        <w:rPr>
          <w:lang w:val="en-GB"/>
        </w:rPr>
        <w:t>Priority Action 11: Deliver improved community justice outcomes by ensuring that effective leadership and governance arrangements are in place and working well, collaborating with partners and planning strategically</w:t>
      </w:r>
      <w:bookmarkEnd w:id="25"/>
    </w:p>
    <w:p w14:paraId="6627627D" w14:textId="77777777" w:rsidR="00CA031C" w:rsidRPr="00072CBF" w:rsidRDefault="00CA031C" w:rsidP="00CA031C">
      <w:pPr>
        <w:rPr>
          <w:b/>
          <w:bCs/>
        </w:rPr>
      </w:pPr>
      <w:r w:rsidRPr="00072CBF">
        <w:rPr>
          <w:b/>
          <w:bCs/>
        </w:rPr>
        <w:t>Performance</w:t>
      </w:r>
    </w:p>
    <w:p w14:paraId="0FFA5564" w14:textId="77777777" w:rsidR="00CA031C" w:rsidRPr="00623EE6" w:rsidRDefault="00CA031C" w:rsidP="00CA031C">
      <w:pPr>
        <w:spacing w:line="240" w:lineRule="auto"/>
        <w:rPr>
          <w:color w:val="auto"/>
        </w:rPr>
      </w:pPr>
      <w:r w:rsidRPr="00623EE6">
        <w:rPr>
          <w:color w:val="auto"/>
        </w:rPr>
        <w:t>There is no nationally determined outcome or indicator for this priority action.</w:t>
      </w:r>
    </w:p>
    <w:p w14:paraId="11AA9A19" w14:textId="63AD90F4" w:rsidR="00CA031C" w:rsidRPr="00623EE6" w:rsidRDefault="00CA031C" w:rsidP="00CA031C">
      <w:pPr>
        <w:spacing w:line="240" w:lineRule="auto"/>
        <w:rPr>
          <w:color w:val="auto"/>
        </w:rPr>
      </w:pPr>
      <w:r w:rsidRPr="00623EE6">
        <w:rPr>
          <w:color w:val="auto"/>
        </w:rPr>
        <w:t xml:space="preserve">The requirements for partners in relation to the governance, delivery and performance monitoring of community justice </w:t>
      </w:r>
      <w:r w:rsidR="0075069C" w:rsidRPr="00623EE6">
        <w:rPr>
          <w:color w:val="auto"/>
        </w:rPr>
        <w:t>is</w:t>
      </w:r>
      <w:r w:rsidRPr="00623EE6">
        <w:rPr>
          <w:color w:val="auto"/>
        </w:rPr>
        <w:t xml:space="preserve"> set out the following key documents:</w:t>
      </w:r>
    </w:p>
    <w:p w14:paraId="58E67078" w14:textId="77777777" w:rsidR="00CA031C" w:rsidRPr="00623EE6" w:rsidRDefault="00CA031C" w:rsidP="00CA031C">
      <w:pPr>
        <w:spacing w:line="240" w:lineRule="auto"/>
        <w:rPr>
          <w:color w:val="auto"/>
        </w:rPr>
      </w:pPr>
      <w:r w:rsidRPr="00623EE6">
        <w:rPr>
          <w:noProof/>
          <w:color w:val="auto"/>
        </w:rPr>
        <w:drawing>
          <wp:inline distT="0" distB="0" distL="0" distR="0" wp14:anchorId="7084EF74" wp14:editId="36E31B6B">
            <wp:extent cx="5676651" cy="3587903"/>
            <wp:effectExtent l="0" t="0" r="0" b="0"/>
            <wp:docPr id="308900789" name="Diagram 1" descr="Graphic including a list of the key documents required by local partners to discharge their duties in relation to governance, delivery, improvement and performance monitoring of community justice.  These are the Community Justice (Scotland) Act 2016, the National Strategy for Community Justice, the Community Justice Performance Framework, the Community Justice Improvement Tool, and &quot;A guide to self-evaluation for community justice in Scotland&quot;.">
              <a:extLst xmlns:a="http://schemas.openxmlformats.org/drawingml/2006/main">
                <a:ext uri="{FF2B5EF4-FFF2-40B4-BE49-F238E27FC236}">
                  <a16:creationId xmlns:a16="http://schemas.microsoft.com/office/drawing/2014/main" id="{617BE865-7518-9251-2F8E-082E84F134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B759F10" w14:textId="77777777" w:rsidR="00CA031C" w:rsidRPr="00623EE6" w:rsidRDefault="00CA031C" w:rsidP="00CA031C">
      <w:pPr>
        <w:rPr>
          <w:color w:val="auto"/>
          <w:lang w:eastAsia="en-GB"/>
        </w:rPr>
      </w:pPr>
    </w:p>
    <w:p w14:paraId="0A63D8C5" w14:textId="77777777" w:rsidR="00CA031C" w:rsidRPr="00623EE6" w:rsidRDefault="00CA031C" w:rsidP="00CA031C">
      <w:pPr>
        <w:rPr>
          <w:color w:val="auto"/>
          <w:lang w:eastAsia="en-GB"/>
        </w:rPr>
      </w:pPr>
      <w:r w:rsidRPr="00623EE6">
        <w:rPr>
          <w:color w:val="auto"/>
          <w:lang w:eastAsia="en-GB"/>
        </w:rPr>
        <w:lastRenderedPageBreak/>
        <w:t>The partners in each local area are required</w:t>
      </w:r>
      <w:r w:rsidRPr="00623EE6">
        <w:rPr>
          <w:rStyle w:val="FootnoteReference"/>
          <w:color w:val="auto"/>
          <w:lang w:eastAsia="en-GB"/>
        </w:rPr>
        <w:footnoteReference w:id="44"/>
      </w:r>
      <w:r w:rsidRPr="00623EE6">
        <w:rPr>
          <w:color w:val="auto"/>
          <w:lang w:eastAsia="en-GB"/>
        </w:rPr>
        <w:t xml:space="preserve"> to work collaboratively to produce a community justice outcome improvement plan (CJOIP) taking account of the relevant national strategy, national outcomes and indicators, and their area’s local outcome improvement plan (LOIP). The partners can also include any local outcomes they identify as appropriate. All statutory partners are jointly responsible for the CJOIP. </w:t>
      </w:r>
    </w:p>
    <w:p w14:paraId="337FBAA2" w14:textId="77777777" w:rsidR="00CA031C" w:rsidRPr="00623EE6" w:rsidRDefault="00CA031C" w:rsidP="00CA031C">
      <w:pPr>
        <w:rPr>
          <w:color w:val="auto"/>
          <w:lang w:eastAsia="en-GB"/>
        </w:rPr>
      </w:pPr>
      <w:r w:rsidRPr="00623EE6">
        <w:rPr>
          <w:color w:val="auto"/>
          <w:lang w:eastAsia="en-GB"/>
        </w:rPr>
        <w:t>In developing the plan for their local area, the local partners are required to ensure the participation of community bodies and third sector organisations involved in local community justice. The local partners are also required to report annually on performance in achieving the outcomes set out in their CJOIP, with reference to national (and where appropriate, local) indicators.</w:t>
      </w:r>
    </w:p>
    <w:p w14:paraId="4627B41D" w14:textId="77777777" w:rsidR="00CA031C" w:rsidRPr="00623EE6" w:rsidRDefault="00CA031C" w:rsidP="00CA031C">
      <w:pPr>
        <w:rPr>
          <w:color w:val="auto"/>
        </w:rPr>
      </w:pPr>
      <w:r w:rsidRPr="00623EE6">
        <w:rPr>
          <w:color w:val="auto"/>
        </w:rPr>
        <w:t>Each statutory and non-statutory partner and agency has a role in demonstrating and supporting leadership in community justice.</w:t>
      </w:r>
    </w:p>
    <w:p w14:paraId="7C359F83" w14:textId="77777777" w:rsidR="00CA031C" w:rsidRPr="00623EE6" w:rsidRDefault="00CA031C" w:rsidP="00CA031C">
      <w:pPr>
        <w:pStyle w:val="Heading3"/>
      </w:pPr>
      <w:r w:rsidRPr="00623EE6">
        <w:t>Wider evidence</w:t>
      </w:r>
    </w:p>
    <w:p w14:paraId="303562C5" w14:textId="570CAA87" w:rsidR="00CA031C" w:rsidRPr="00623EE6" w:rsidRDefault="00CA031C" w:rsidP="00CA031C">
      <w:pPr>
        <w:rPr>
          <w:color w:val="auto"/>
        </w:rPr>
      </w:pPr>
      <w:r w:rsidRPr="00623EE6">
        <w:rPr>
          <w:color w:val="auto"/>
        </w:rPr>
        <w:t>The reporting year followed a period that included several significant policy developments that reshaped the strategic landscape for community justice in fundamental ways</w:t>
      </w:r>
      <w:r>
        <w:rPr>
          <w:color w:val="auto"/>
        </w:rPr>
        <w:t>:</w:t>
      </w:r>
    </w:p>
    <w:p w14:paraId="0B1AF4EA" w14:textId="68DA9F8C" w:rsidR="00CA031C" w:rsidRPr="001C65BC" w:rsidRDefault="00CA031C" w:rsidP="001223CA">
      <w:pPr>
        <w:pStyle w:val="ListParagraph"/>
        <w:numPr>
          <w:ilvl w:val="1"/>
          <w:numId w:val="14"/>
        </w:numPr>
        <w:rPr>
          <w:color w:val="auto"/>
        </w:rPr>
      </w:pPr>
      <w:r w:rsidRPr="001C65BC">
        <w:rPr>
          <w:color w:val="auto"/>
        </w:rPr>
        <w:t xml:space="preserve">The refreshed </w:t>
      </w:r>
      <w:hyperlink r:id="rId58" w:history="1">
        <w:r w:rsidRPr="00952706">
          <w:rPr>
            <w:rStyle w:val="Hyperlink"/>
            <w:color w:val="auto"/>
          </w:rPr>
          <w:t>National Strategy for Community Justice</w:t>
        </w:r>
      </w:hyperlink>
      <w:r w:rsidRPr="001C65BC">
        <w:rPr>
          <w:color w:val="auto"/>
        </w:rPr>
        <w:t xml:space="preserve"> published June 2022, </w:t>
      </w:r>
    </w:p>
    <w:p w14:paraId="24326437" w14:textId="26279E4B" w:rsidR="00CA031C" w:rsidRPr="001C65BC" w:rsidRDefault="00CA031C" w:rsidP="001223CA">
      <w:pPr>
        <w:pStyle w:val="ListParagraph"/>
        <w:numPr>
          <w:ilvl w:val="1"/>
          <w:numId w:val="14"/>
        </w:numPr>
        <w:rPr>
          <w:color w:val="auto"/>
        </w:rPr>
      </w:pPr>
      <w:r>
        <w:rPr>
          <w:color w:val="auto"/>
        </w:rPr>
        <w:t>T</w:t>
      </w:r>
      <w:r w:rsidRPr="001C65BC">
        <w:rPr>
          <w:color w:val="auto"/>
        </w:rPr>
        <w:t xml:space="preserve">he associated </w:t>
      </w:r>
      <w:hyperlink r:id="rId59" w:history="1">
        <w:r w:rsidRPr="00952706">
          <w:rPr>
            <w:rStyle w:val="Hyperlink"/>
            <w:color w:val="auto"/>
          </w:rPr>
          <w:t>national performance framework</w:t>
        </w:r>
      </w:hyperlink>
      <w:r w:rsidRPr="001C65BC">
        <w:rPr>
          <w:color w:val="auto"/>
        </w:rPr>
        <w:t xml:space="preserve"> (the CJPF) was published in March 2023. The publication of the latter was a legislative trigger for local areas to review their CJOIPs in line with the new strategy and national outcomes. </w:t>
      </w:r>
    </w:p>
    <w:p w14:paraId="3C3B5617" w14:textId="77777777" w:rsidR="00CA031C" w:rsidRPr="00952706" w:rsidRDefault="00CA031C" w:rsidP="001223CA">
      <w:pPr>
        <w:pStyle w:val="ListParagraph"/>
        <w:numPr>
          <w:ilvl w:val="1"/>
          <w:numId w:val="14"/>
        </w:numPr>
        <w:rPr>
          <w:color w:val="auto"/>
        </w:rPr>
      </w:pPr>
      <w:r w:rsidRPr="00952706">
        <w:rPr>
          <w:color w:val="auto"/>
        </w:rPr>
        <w:t xml:space="preserve">CJS published the </w:t>
      </w:r>
      <w:hyperlink r:id="rId60" w:history="1">
        <w:r w:rsidRPr="00952706">
          <w:rPr>
            <w:rStyle w:val="Hyperlink"/>
            <w:color w:val="auto"/>
          </w:rPr>
          <w:t>Community Justice Improvement Tool</w:t>
        </w:r>
      </w:hyperlink>
      <w:r w:rsidRPr="00952706">
        <w:rPr>
          <w:color w:val="auto"/>
        </w:rPr>
        <w:t xml:space="preserve"> to coincide with the launch of the CJPF. This was developed to enable local areas to encourage improvement in delivering the national outcomes. It sets out the local supporting evidence that should be taken into account year-round to help partners plan and monitor improvement activities relating to the national outcomes. </w:t>
      </w:r>
    </w:p>
    <w:p w14:paraId="4B628E77" w14:textId="77777777" w:rsidR="00CA031C" w:rsidRPr="00952706" w:rsidRDefault="00CA031C" w:rsidP="001223CA">
      <w:pPr>
        <w:pStyle w:val="ListParagraph"/>
        <w:numPr>
          <w:ilvl w:val="1"/>
          <w:numId w:val="14"/>
        </w:numPr>
        <w:rPr>
          <w:color w:val="auto"/>
        </w:rPr>
      </w:pPr>
      <w:r w:rsidRPr="00952706">
        <w:rPr>
          <w:color w:val="auto"/>
        </w:rPr>
        <w:t xml:space="preserve">The Care Inspectorate launched its revised </w:t>
      </w:r>
      <w:hyperlink r:id="rId61" w:history="1">
        <w:r w:rsidRPr="00952706">
          <w:rPr>
            <w:rStyle w:val="Hyperlink"/>
            <w:color w:val="auto"/>
          </w:rPr>
          <w:t>self-evaluation guide to support quality improvement for community justice in Scotland</w:t>
        </w:r>
      </w:hyperlink>
      <w:r w:rsidRPr="00952706">
        <w:rPr>
          <w:color w:val="auto"/>
        </w:rPr>
        <w:t xml:space="preserve"> in July 2023. This guide takes account of the revised strategy and is designed to support a partnership approach to undertaking self-evaluation of its contribution to the delivery of community justice. </w:t>
      </w:r>
    </w:p>
    <w:p w14:paraId="1F004A77" w14:textId="77777777" w:rsidR="00CA031C" w:rsidRPr="00623EE6" w:rsidRDefault="00CA031C" w:rsidP="00CA031C">
      <w:pPr>
        <w:rPr>
          <w:color w:val="auto"/>
        </w:rPr>
      </w:pPr>
      <w:r w:rsidRPr="00623EE6">
        <w:rPr>
          <w:color w:val="auto"/>
        </w:rPr>
        <w:lastRenderedPageBreak/>
        <w:t xml:space="preserve">Local partnerships </w:t>
      </w:r>
      <w:r>
        <w:rPr>
          <w:color w:val="auto"/>
        </w:rPr>
        <w:t>were</w:t>
      </w:r>
      <w:r w:rsidRPr="00623EE6">
        <w:rPr>
          <w:color w:val="auto"/>
        </w:rPr>
        <w:t xml:space="preserve"> instrumental to the development of the improvement tool and the self-evaluation guide.</w:t>
      </w:r>
    </w:p>
    <w:p w14:paraId="69358BE6" w14:textId="77777777" w:rsidR="00CA031C" w:rsidRDefault="00CA031C" w:rsidP="00CA031C">
      <w:pPr>
        <w:rPr>
          <w:color w:val="auto"/>
        </w:rPr>
      </w:pPr>
    </w:p>
    <w:p w14:paraId="4644DA22" w14:textId="77777777" w:rsidR="00CA031C" w:rsidRDefault="00CA031C" w:rsidP="00CA031C">
      <w:pPr>
        <w:rPr>
          <w:b/>
          <w:bCs/>
          <w:color w:val="auto"/>
          <w:sz w:val="28"/>
          <w:szCs w:val="28"/>
        </w:rPr>
      </w:pPr>
      <w:r w:rsidRPr="001C65BC">
        <w:rPr>
          <w:b/>
          <w:bCs/>
          <w:color w:val="auto"/>
          <w:sz w:val="28"/>
          <w:szCs w:val="28"/>
        </w:rPr>
        <w:t>Previous Recommendations</w:t>
      </w:r>
    </w:p>
    <w:p w14:paraId="5A71338D" w14:textId="77777777" w:rsidR="00CA031C" w:rsidRPr="001C65BC" w:rsidRDefault="00CA031C" w:rsidP="00CA031C">
      <w:pPr>
        <w:rPr>
          <w:b/>
          <w:bCs/>
          <w:color w:val="auto"/>
          <w:sz w:val="28"/>
          <w:szCs w:val="28"/>
        </w:rPr>
      </w:pPr>
      <w:r>
        <w:rPr>
          <w:b/>
          <w:bCs/>
          <w:color w:val="auto"/>
          <w:sz w:val="28"/>
          <w:szCs w:val="28"/>
        </w:rPr>
        <w:t>Scope and Synergy</w:t>
      </w:r>
    </w:p>
    <w:p w14:paraId="43D382F6" w14:textId="77777777" w:rsidR="00CA031C" w:rsidRPr="00623EE6" w:rsidRDefault="00CA031C" w:rsidP="00CA031C">
      <w:pPr>
        <w:rPr>
          <w:color w:val="auto"/>
        </w:rPr>
      </w:pPr>
      <w:r w:rsidRPr="00623EE6">
        <w:rPr>
          <w:color w:val="auto"/>
        </w:rPr>
        <w:t>In the OAAR for 2022-23, CJS raised a talking point on ‘scope and synergy</w:t>
      </w:r>
      <w:r w:rsidRPr="00623EE6">
        <w:rPr>
          <w:i/>
          <w:iCs/>
          <w:color w:val="auto"/>
        </w:rPr>
        <w:t xml:space="preserve">’ </w:t>
      </w:r>
      <w:r w:rsidRPr="00623EE6">
        <w:rPr>
          <w:color w:val="auto"/>
        </w:rPr>
        <w:t xml:space="preserve">challenging partners to </w:t>
      </w:r>
      <w:r w:rsidRPr="00623EE6">
        <w:rPr>
          <w:i/>
          <w:iCs/>
          <w:color w:val="auto"/>
        </w:rPr>
        <w:t>‘</w:t>
      </w:r>
      <w:r w:rsidRPr="00623EE6">
        <w:rPr>
          <w:color w:val="auto"/>
        </w:rPr>
        <w:t>better identify opportunities for alignment between policy areas to greatest impact without losing focus on community justice outcomes’.</w:t>
      </w:r>
      <w:r w:rsidRPr="00623EE6">
        <w:rPr>
          <w:i/>
          <w:iCs/>
          <w:color w:val="auto"/>
        </w:rPr>
        <w:t xml:space="preserve"> </w:t>
      </w:r>
    </w:p>
    <w:p w14:paraId="2453EFEF" w14:textId="77777777" w:rsidR="00CA031C" w:rsidRPr="00623EE6" w:rsidRDefault="00CA031C" w:rsidP="00CA031C">
      <w:pPr>
        <w:rPr>
          <w:color w:val="auto"/>
        </w:rPr>
      </w:pPr>
      <w:r w:rsidRPr="00623EE6">
        <w:rPr>
          <w:color w:val="auto"/>
        </w:rPr>
        <w:t>In response, local partnerships have been aligning CJOIPs and associated action plans to community justice priorities and outcomes. There has also been significant leverage of new resources, services and joined up working as described in their responses.</w:t>
      </w:r>
    </w:p>
    <w:p w14:paraId="43287220" w14:textId="77777777" w:rsidR="00CA031C" w:rsidRPr="001C65BC" w:rsidRDefault="00CA031C" w:rsidP="00CA031C">
      <w:pPr>
        <w:rPr>
          <w:b/>
          <w:bCs/>
          <w:color w:val="auto"/>
          <w:sz w:val="28"/>
          <w:szCs w:val="28"/>
        </w:rPr>
      </w:pPr>
      <w:r w:rsidRPr="001C65BC">
        <w:rPr>
          <w:b/>
          <w:bCs/>
          <w:color w:val="auto"/>
          <w:sz w:val="28"/>
          <w:szCs w:val="28"/>
        </w:rPr>
        <w:t>Equality</w:t>
      </w:r>
    </w:p>
    <w:p w14:paraId="01AF085A" w14:textId="77777777" w:rsidR="00CA031C" w:rsidRPr="00623EE6" w:rsidRDefault="00CA031C" w:rsidP="00CA031C">
      <w:pPr>
        <w:rPr>
          <w:color w:val="auto"/>
        </w:rPr>
      </w:pPr>
      <w:r w:rsidRPr="00623EE6">
        <w:rPr>
          <w:color w:val="auto"/>
        </w:rPr>
        <w:t>A ‘talking point’ was also raised about equality in the justice system. This year, partners provided extensive evidence about the quality and breadth of support for women who have been in conflict with the law. There remains a paucity of evidence about wider community integrated supports, particularly for people with disabilities and people from ethnic minority backgrounds, as well as those with other protected characteristics.</w:t>
      </w:r>
    </w:p>
    <w:p w14:paraId="32E00630" w14:textId="77777777" w:rsidR="00CA031C" w:rsidRDefault="00CA031C" w:rsidP="00CA031C">
      <w:pPr>
        <w:rPr>
          <w:color w:val="auto"/>
        </w:rPr>
      </w:pPr>
    </w:p>
    <w:p w14:paraId="575A40B2" w14:textId="77777777" w:rsidR="00CA031C" w:rsidRPr="001C65BC" w:rsidRDefault="00CA031C" w:rsidP="00CA031C">
      <w:pPr>
        <w:rPr>
          <w:b/>
          <w:bCs/>
          <w:color w:val="auto"/>
          <w:sz w:val="28"/>
          <w:szCs w:val="28"/>
        </w:rPr>
      </w:pPr>
      <w:r w:rsidRPr="001C65BC">
        <w:rPr>
          <w:b/>
          <w:bCs/>
          <w:color w:val="auto"/>
          <w:sz w:val="28"/>
          <w:szCs w:val="28"/>
        </w:rPr>
        <w:t>Governance, Leadership and Disparate Arrangements</w:t>
      </w:r>
    </w:p>
    <w:p w14:paraId="3C70D4AA" w14:textId="77777777" w:rsidR="00CA031C" w:rsidRPr="00623EE6" w:rsidRDefault="00CA031C" w:rsidP="00CA031C">
      <w:pPr>
        <w:rPr>
          <w:color w:val="auto"/>
        </w:rPr>
      </w:pPr>
      <w:r w:rsidRPr="00623EE6">
        <w:rPr>
          <w:color w:val="auto"/>
        </w:rPr>
        <w:t xml:space="preserve">Governance and leadership structures at both national and local levels are key to the successful delivery of community justice outcomes. The presence of </w:t>
      </w:r>
      <w:r w:rsidRPr="001C65BC">
        <w:rPr>
          <w:b/>
          <w:bCs/>
          <w:color w:val="auto"/>
        </w:rPr>
        <w:t xml:space="preserve">dedicated community justice co-ordinators </w:t>
      </w:r>
      <w:r w:rsidRPr="00623EE6">
        <w:rPr>
          <w:color w:val="auto"/>
        </w:rPr>
        <w:t>or managers significantly enhances local partnerships' ability to fulfil statutory functions, improve collaboration and achieve strategic planning and delivery. Continued commitment to resourcing these roles is crucial.</w:t>
      </w:r>
    </w:p>
    <w:p w14:paraId="4F9B5C18" w14:textId="77777777" w:rsidR="00CA031C" w:rsidRPr="00623EE6" w:rsidRDefault="00CA031C" w:rsidP="00CA031C">
      <w:pPr>
        <w:rPr>
          <w:color w:val="auto"/>
        </w:rPr>
      </w:pPr>
      <w:r w:rsidRPr="00623EE6">
        <w:rPr>
          <w:color w:val="auto"/>
        </w:rPr>
        <w:t>Various local models of supporting CJPs continue to operate including the grouping of the three Ayrshire local authorities within one strategic structure and in Highland where the co-ordination of the partnership is managed by an employee of the third sector interface with the support of an independent chair.</w:t>
      </w:r>
    </w:p>
    <w:p w14:paraId="0794E5D9" w14:textId="76425BAB" w:rsidR="0075069C" w:rsidRPr="00623EE6" w:rsidRDefault="00CA031C" w:rsidP="00CA031C">
      <w:pPr>
        <w:rPr>
          <w:color w:val="auto"/>
        </w:rPr>
      </w:pPr>
      <w:r w:rsidRPr="00623EE6">
        <w:rPr>
          <w:color w:val="auto"/>
        </w:rPr>
        <w:t xml:space="preserve">While many local areas reported increased partner engagement, challenges remain in achieving consistent collaboration, particularly with </w:t>
      </w:r>
      <w:r w:rsidRPr="001C65BC">
        <w:rPr>
          <w:b/>
          <w:bCs/>
          <w:color w:val="auto"/>
        </w:rPr>
        <w:t>key statutory partners</w:t>
      </w:r>
      <w:r w:rsidRPr="00623EE6">
        <w:rPr>
          <w:color w:val="auto"/>
        </w:rPr>
        <w:t xml:space="preserve"> such as COPFS and Integration Joint Boards. This hinders the full potential of community </w:t>
      </w:r>
      <w:r w:rsidRPr="00623EE6">
        <w:rPr>
          <w:color w:val="auto"/>
        </w:rPr>
        <w:lastRenderedPageBreak/>
        <w:t>justice delivery. Mapping services to inform strategic needs assessments in planning processes has also been challenging in some areas.</w:t>
      </w:r>
    </w:p>
    <w:p w14:paraId="65A345C1" w14:textId="77777777" w:rsidR="00CA031C" w:rsidRPr="00623EE6" w:rsidRDefault="00CA031C" w:rsidP="00CA031C">
      <w:pPr>
        <w:rPr>
          <w:color w:val="auto"/>
        </w:rPr>
      </w:pPr>
      <w:r w:rsidRPr="00623EE6">
        <w:rPr>
          <w:color w:val="auto"/>
        </w:rPr>
        <w:t xml:space="preserve">Strong collaborative efforts are evident across local partnerships, with effective integration of third sector organisations in some areas. Engagement with third sector partners, however, is inconsistent, potentially limiting opportunities to leverage their contribution to community justice outcomes. </w:t>
      </w:r>
    </w:p>
    <w:p w14:paraId="43B7DBBF" w14:textId="77777777" w:rsidR="00CA031C" w:rsidRPr="00623EE6" w:rsidRDefault="00CA031C" w:rsidP="00CA031C">
      <w:pPr>
        <w:rPr>
          <w:color w:val="auto"/>
        </w:rPr>
      </w:pPr>
      <w:r w:rsidRPr="00623EE6">
        <w:rPr>
          <w:color w:val="auto"/>
        </w:rPr>
        <w:t>Similarly, there are strong community planning connections locally to Violence Against Women and Girls (VAWG) Partnerships, Community Safety Partnerships, Local Employability Partnerships, ADPs, public protection committees and MAPPA.</w:t>
      </w:r>
    </w:p>
    <w:p w14:paraId="7F761808" w14:textId="77777777" w:rsidR="00CA031C" w:rsidRPr="00623EE6" w:rsidRDefault="00CA031C" w:rsidP="00CA031C">
      <w:pPr>
        <w:rPr>
          <w:color w:val="auto"/>
        </w:rPr>
      </w:pPr>
      <w:r w:rsidRPr="001C65BC">
        <w:rPr>
          <w:b/>
          <w:bCs/>
          <w:color w:val="auto"/>
        </w:rPr>
        <w:t>Capacity constraints remain a persistent challenge</w:t>
      </w:r>
      <w:r w:rsidRPr="00623EE6">
        <w:rPr>
          <w:color w:val="auto"/>
        </w:rPr>
        <w:t xml:space="preserve">. Many areas cited resource limitations as a barrier to engagement, collaboration and delivery of strategic objectives. This affects the ability of partners to fully meet the ambitions set by the national strategy. </w:t>
      </w:r>
    </w:p>
    <w:p w14:paraId="7F71DFEE" w14:textId="77777777" w:rsidR="00BC0507" w:rsidRPr="00623EE6" w:rsidRDefault="00BC0507" w:rsidP="00150B7F">
      <w:pPr>
        <w:rPr>
          <w:color w:val="auto"/>
        </w:rPr>
      </w:pPr>
    </w:p>
    <w:p w14:paraId="0F43A162" w14:textId="487EE3B5" w:rsidR="001D5496" w:rsidRPr="00623EE6" w:rsidRDefault="001D5496" w:rsidP="001D5496">
      <w:pPr>
        <w:rPr>
          <w:color w:val="auto"/>
        </w:rPr>
        <w:sectPr w:rsidR="001D5496" w:rsidRPr="00623EE6" w:rsidSect="00F22C87">
          <w:pgSz w:w="11906" w:h="16838" w:code="9"/>
          <w:pgMar w:top="1440" w:right="1440" w:bottom="1440" w:left="1440" w:header="720" w:footer="720" w:gutter="0"/>
          <w:cols w:space="708"/>
          <w:titlePg/>
          <w:docGrid w:linePitch="360"/>
        </w:sectPr>
      </w:pPr>
    </w:p>
    <w:p w14:paraId="45E2F168" w14:textId="75D59B97" w:rsidR="00F44219" w:rsidRPr="00623EE6" w:rsidRDefault="00F44219" w:rsidP="003F3086">
      <w:pPr>
        <w:pStyle w:val="Heading2"/>
        <w:rPr>
          <w:lang w:val="en-GB"/>
        </w:rPr>
      </w:pPr>
      <w:bookmarkStart w:id="26" w:name="_Toc193901800"/>
      <w:r w:rsidRPr="00623EE6">
        <w:rPr>
          <w:lang w:val="en-GB"/>
        </w:rPr>
        <w:lastRenderedPageBreak/>
        <w:t>Priority Action 12: Enhance partnership planning and implementation by ensuring the voices of victims of crime, survivors, those with lived experience and their families are effectively incorporated and embedded</w:t>
      </w:r>
      <w:bookmarkEnd w:id="26"/>
    </w:p>
    <w:p w14:paraId="1A3A54F9" w14:textId="77777777" w:rsidR="00383C46" w:rsidRPr="00072CBF" w:rsidRDefault="00383C46" w:rsidP="00383C46">
      <w:pPr>
        <w:pStyle w:val="Heading3"/>
      </w:pPr>
      <w:r w:rsidRPr="00072CBF">
        <w:t>Performance</w:t>
      </w:r>
    </w:p>
    <w:p w14:paraId="4ADAA29B" w14:textId="77777777" w:rsidR="00383C46" w:rsidRPr="00623EE6" w:rsidRDefault="00383C46" w:rsidP="00383C46">
      <w:pPr>
        <w:spacing w:line="240" w:lineRule="auto"/>
        <w:rPr>
          <w:color w:val="auto"/>
        </w:rPr>
      </w:pPr>
      <w:r w:rsidRPr="00623EE6">
        <w:rPr>
          <w:color w:val="auto"/>
        </w:rPr>
        <w:t>There is no nationally determined outcome or indicator for this priority action.</w:t>
      </w:r>
    </w:p>
    <w:p w14:paraId="6200FB9A" w14:textId="6AC3A4E8" w:rsidR="00383C46" w:rsidRPr="0012752E" w:rsidRDefault="00383C46" w:rsidP="0075069C">
      <w:pPr>
        <w:pStyle w:val="Heading3"/>
      </w:pPr>
      <w:r w:rsidRPr="00623EE6">
        <w:t>Wider evidence</w:t>
      </w:r>
    </w:p>
    <w:p w14:paraId="5AC12374" w14:textId="77777777" w:rsidR="00383C46" w:rsidRPr="00623EE6" w:rsidRDefault="00383C46" w:rsidP="00383C46">
      <w:pPr>
        <w:rPr>
          <w:color w:val="auto"/>
        </w:rPr>
      </w:pPr>
      <w:r w:rsidRPr="00623EE6">
        <w:rPr>
          <w:color w:val="auto"/>
        </w:rPr>
        <w:t>Services routinely use surveys to inform improvement, but they recognise the limitations to evidence. For example, the important individuals who were not reached by services in the first place, are unable to comment about engagement difficulties on service delivery surveys.</w:t>
      </w:r>
    </w:p>
    <w:p w14:paraId="3E79F12F" w14:textId="7EDBD382" w:rsidR="00383C46" w:rsidRPr="00623EE6" w:rsidRDefault="00383C46" w:rsidP="00383C46">
      <w:pPr>
        <w:rPr>
          <w:color w:val="auto"/>
        </w:rPr>
      </w:pPr>
      <w:r w:rsidRPr="00623EE6">
        <w:rPr>
          <w:color w:val="auto"/>
        </w:rPr>
        <w:t>Therefore, some local partnerships and services have continued to develop innovative approaches to engagement through research and indirect involvement with victims, survivors and people who have been in conflict with the law</w:t>
      </w:r>
      <w:r>
        <w:rPr>
          <w:color w:val="auto"/>
        </w:rPr>
        <w:t xml:space="preserve"> </w:t>
      </w:r>
      <w:r w:rsidRPr="00623EE6">
        <w:rPr>
          <w:color w:val="auto"/>
        </w:rPr>
        <w:t>and have used peer models to enable engagement.</w:t>
      </w:r>
    </w:p>
    <w:p w14:paraId="67265BF5" w14:textId="77777777" w:rsidR="00383C46" w:rsidRPr="00623EE6" w:rsidRDefault="00383C46" w:rsidP="00383C46">
      <w:pPr>
        <w:rPr>
          <w:color w:val="auto"/>
        </w:rPr>
      </w:pPr>
      <w:r w:rsidRPr="00623EE6">
        <w:rPr>
          <w:color w:val="auto"/>
        </w:rPr>
        <w:t>Incorporating the voices of victims, survivors, those with lived experience and their families is essential for meaningful and effective community justice planning and implementation. Such engagement ensures that services are informed by real-world experiences and can respond to the actual needs of affected populations.</w:t>
      </w:r>
    </w:p>
    <w:p w14:paraId="45A2B592" w14:textId="27E5FF1C" w:rsidR="00383C46" w:rsidRPr="00623EE6" w:rsidRDefault="00383C46" w:rsidP="00D776F2">
      <w:r>
        <w:t>However, l</w:t>
      </w:r>
      <w:r w:rsidRPr="00623EE6">
        <w:t>ived experience engagement appears to be especially complicated in remote and rural areas. There are challenges in engaging individuals due to geographic and social constraints</w:t>
      </w:r>
      <w:r w:rsidR="002452A5">
        <w:t xml:space="preserve">, </w:t>
      </w:r>
      <w:r w:rsidRPr="00623EE6">
        <w:t>but areas are exploring trauma-informed practices and innovative engagement models.</w:t>
      </w:r>
    </w:p>
    <w:p w14:paraId="0E1C8DA4" w14:textId="77777777" w:rsidR="00383C46" w:rsidRPr="0040198E" w:rsidRDefault="00383C46" w:rsidP="00383C46">
      <w:pPr>
        <w:rPr>
          <w:b/>
          <w:bCs/>
          <w:color w:val="auto"/>
          <w:sz w:val="28"/>
          <w:szCs w:val="28"/>
        </w:rPr>
      </w:pPr>
      <w:r w:rsidRPr="0040198E">
        <w:rPr>
          <w:b/>
          <w:bCs/>
          <w:color w:val="auto"/>
          <w:sz w:val="28"/>
          <w:szCs w:val="28"/>
        </w:rPr>
        <w:t xml:space="preserve">Family </w:t>
      </w:r>
      <w:r>
        <w:rPr>
          <w:b/>
          <w:bCs/>
          <w:color w:val="auto"/>
          <w:sz w:val="28"/>
          <w:szCs w:val="28"/>
        </w:rPr>
        <w:t>and lived experience engagement</w:t>
      </w:r>
    </w:p>
    <w:p w14:paraId="787279C2" w14:textId="77777777" w:rsidR="00383C46" w:rsidRDefault="00383C46" w:rsidP="00383C46">
      <w:pPr>
        <w:rPr>
          <w:color w:val="auto"/>
        </w:rPr>
      </w:pPr>
      <w:r w:rsidRPr="00623EE6">
        <w:rPr>
          <w:color w:val="auto"/>
        </w:rPr>
        <w:t>Local partnerships have addressed strategic policy gaps in how families affected by the justice system are supported. Families Outside is frequently mentioned as a valuable stakeholder for informing partners.</w:t>
      </w:r>
    </w:p>
    <w:p w14:paraId="5AB5F59F" w14:textId="77777777" w:rsidR="00383C46" w:rsidRDefault="00383C46" w:rsidP="00383C46">
      <w:pPr>
        <w:rPr>
          <w:rFonts w:ascii="Calibri" w:hAnsi="Calibri" w:cs="Calibri"/>
          <w:color w:val="000000"/>
          <w:sz w:val="22"/>
          <w:lang w:eastAsia="en-GB"/>
        </w:rPr>
      </w:pPr>
      <w:r w:rsidRPr="00623EE6">
        <w:rPr>
          <w:color w:val="auto"/>
        </w:rPr>
        <w:t xml:space="preserve">Another key reflection is that there is a </w:t>
      </w:r>
      <w:r w:rsidRPr="0040198E">
        <w:rPr>
          <w:b/>
          <w:bCs/>
          <w:color w:val="auto"/>
        </w:rPr>
        <w:t>strategic policy gap</w:t>
      </w:r>
      <w:r w:rsidRPr="00623EE6">
        <w:rPr>
          <w:color w:val="auto"/>
        </w:rPr>
        <w:t xml:space="preserve"> in support for families affected by imprisonment. There is not enough emphasis on families affected by imprisonment in their own right, as highlighted in the vision. The vision specifically acknowledges the damaging effects experienced by families of people in the criminal justice system, while SNAP 2 (Scotland’s second National Human Rights Action Plan) affords recognition to the families of accused persons and people in custody as ‘people whose rights are most at risk’.</w:t>
      </w:r>
      <w:r w:rsidRPr="00623EE6">
        <w:rPr>
          <w:rFonts w:ascii="Calibri" w:hAnsi="Calibri" w:cs="Calibri"/>
          <w:color w:val="000000"/>
          <w:sz w:val="22"/>
          <w:lang w:eastAsia="en-GB"/>
        </w:rPr>
        <w:t xml:space="preserve"> </w:t>
      </w:r>
    </w:p>
    <w:p w14:paraId="0FDAA4EB" w14:textId="39E3D0F3" w:rsidR="00383C46" w:rsidRDefault="00383C46" w:rsidP="00383C46">
      <w:pPr>
        <w:rPr>
          <w:color w:val="auto"/>
        </w:rPr>
      </w:pPr>
      <w:r w:rsidRPr="00623EE6">
        <w:rPr>
          <w:rFonts w:cs="Calibri"/>
          <w:color w:val="000000"/>
          <w:szCs w:val="24"/>
          <w:lang w:eastAsia="en-GB"/>
        </w:rPr>
        <w:t>There has been some promising development work such as the planning for a child impact assessment project in Perth and Kinross which will support the United Nations Convention on the Rights of the Child (UNCRC) incorporation requirements</w:t>
      </w:r>
      <w:r>
        <w:rPr>
          <w:rFonts w:cs="Calibri"/>
          <w:color w:val="000000"/>
          <w:szCs w:val="24"/>
          <w:lang w:eastAsia="en-GB"/>
        </w:rPr>
        <w:t>.</w:t>
      </w:r>
    </w:p>
    <w:p w14:paraId="51F5763B" w14:textId="77777777" w:rsidR="00383C46" w:rsidRPr="0040198E" w:rsidRDefault="00383C46" w:rsidP="00383C46">
      <w:pPr>
        <w:rPr>
          <w:b/>
          <w:bCs/>
          <w:color w:val="auto"/>
          <w:sz w:val="28"/>
          <w:szCs w:val="28"/>
        </w:rPr>
      </w:pPr>
      <w:r w:rsidRPr="0040198E">
        <w:rPr>
          <w:b/>
          <w:bCs/>
          <w:color w:val="auto"/>
          <w:sz w:val="28"/>
          <w:szCs w:val="28"/>
        </w:rPr>
        <w:lastRenderedPageBreak/>
        <w:t>Trauma-informed Practices</w:t>
      </w:r>
    </w:p>
    <w:p w14:paraId="50C58B60" w14:textId="77777777" w:rsidR="00383C46" w:rsidRPr="00623EE6" w:rsidRDefault="00383C46" w:rsidP="00383C46">
      <w:pPr>
        <w:rPr>
          <w:color w:val="auto"/>
        </w:rPr>
      </w:pPr>
      <w:r w:rsidRPr="00623EE6">
        <w:rPr>
          <w:color w:val="auto"/>
        </w:rPr>
        <w:t>Trauma-informed and trauma-responsive practices are critical in engaging with individuals affected by the justice system. National initiatives like the National Trauma Transformation Programme and associated training frameworks provide a strong foundation for ethical and effective engagement.</w:t>
      </w:r>
    </w:p>
    <w:p w14:paraId="4580C8D4" w14:textId="77777777" w:rsidR="00383C46" w:rsidRPr="00623EE6" w:rsidRDefault="00383C46" w:rsidP="00383C46">
      <w:pPr>
        <w:rPr>
          <w:color w:val="auto"/>
        </w:rPr>
      </w:pPr>
      <w:r w:rsidRPr="00623EE6">
        <w:rPr>
          <w:color w:val="auto"/>
        </w:rPr>
        <w:t>Several local areas have successfully integrated service user feedback into their strategic planning processes, often through focus groups, surveys and lived experience panels. This level of integration is not universal, with variability in how lived experience informs CJOIPs.</w:t>
      </w:r>
    </w:p>
    <w:p w14:paraId="78A53684" w14:textId="77777777" w:rsidR="00383C46" w:rsidRPr="00623EE6" w:rsidRDefault="00383C46" w:rsidP="00383C46">
      <w:pPr>
        <w:rPr>
          <w:color w:val="auto"/>
        </w:rPr>
      </w:pPr>
      <w:r w:rsidRPr="00623EE6">
        <w:rPr>
          <w:color w:val="auto"/>
        </w:rPr>
        <w:t>The third sector plays a vital role in facilitating engagement with affected populations, often providing trauma-informed approaches and direct access to lived experiences. Reliance on third sector engagement varies between local areas and is not always strategically aligned with broader objectives.</w:t>
      </w:r>
    </w:p>
    <w:p w14:paraId="5157B1A8" w14:textId="3C7C669B" w:rsidR="00383C46" w:rsidRDefault="00383C46" w:rsidP="00383C46">
      <w:pPr>
        <w:rPr>
          <w:color w:val="auto"/>
        </w:rPr>
      </w:pPr>
      <w:r w:rsidRPr="00623EE6">
        <w:rPr>
          <w:color w:val="auto"/>
        </w:rPr>
        <w:t>Sustaining high-quality, trauma-informed engagement is challenging because of resource constraints, ethical concerns, and the need for expert facilitation and participant support.</w:t>
      </w:r>
    </w:p>
    <w:p w14:paraId="2C4769C0" w14:textId="77777777" w:rsidR="00383C46" w:rsidRPr="0040198E" w:rsidRDefault="00383C46" w:rsidP="00383C46">
      <w:pPr>
        <w:rPr>
          <w:b/>
          <w:bCs/>
          <w:color w:val="auto"/>
          <w:sz w:val="28"/>
          <w:szCs w:val="28"/>
        </w:rPr>
      </w:pPr>
      <w:r w:rsidRPr="0040198E">
        <w:rPr>
          <w:b/>
          <w:bCs/>
          <w:color w:val="auto"/>
          <w:sz w:val="28"/>
          <w:szCs w:val="28"/>
        </w:rPr>
        <w:t>Gender Based Violence</w:t>
      </w:r>
    </w:p>
    <w:p w14:paraId="4AB0BDEC" w14:textId="77777777" w:rsidR="00383C46" w:rsidRPr="00623EE6" w:rsidRDefault="00383C46" w:rsidP="00383C46">
      <w:pPr>
        <w:rPr>
          <w:color w:val="auto"/>
        </w:rPr>
      </w:pPr>
      <w:r w:rsidRPr="00623EE6">
        <w:rPr>
          <w:color w:val="auto"/>
        </w:rPr>
        <w:t>There is a notable focus on survivors of gender-based violence (GBV) and on individuals with multiple vulnerabilities, such as substance use issues and justice involvement. These efforts demonstrate a growing recognition of the need for targeted support and insights from specific population groups.</w:t>
      </w:r>
    </w:p>
    <w:p w14:paraId="4460472C" w14:textId="77777777" w:rsidR="00915063" w:rsidRPr="00623EE6" w:rsidRDefault="00915063">
      <w:pPr>
        <w:spacing w:line="240" w:lineRule="auto"/>
        <w:rPr>
          <w:rFonts w:eastAsiaTheme="majorEastAsia" w:cstheme="majorBidi"/>
          <w:b/>
          <w:color w:val="auto"/>
          <w:szCs w:val="26"/>
        </w:rPr>
      </w:pPr>
      <w:r w:rsidRPr="00623EE6">
        <w:rPr>
          <w:color w:val="auto"/>
        </w:rPr>
        <w:br w:type="page"/>
      </w:r>
    </w:p>
    <w:p w14:paraId="1730A1C4" w14:textId="7DA1D473" w:rsidR="00F44219" w:rsidRPr="00623EE6" w:rsidRDefault="00C24C8D" w:rsidP="003F3086">
      <w:pPr>
        <w:pStyle w:val="Heading2"/>
        <w:rPr>
          <w:lang w:val="en-GB"/>
        </w:rPr>
      </w:pPr>
      <w:bookmarkStart w:id="27" w:name="_Toc193901801"/>
      <w:r w:rsidRPr="00623EE6">
        <w:rPr>
          <w:lang w:val="en-GB"/>
        </w:rPr>
        <w:lastRenderedPageBreak/>
        <w:t>Priority Action 13: Support integration and reduce stigma by ensuring the community and workforce have an improved understanding of and confidence in community justice</w:t>
      </w:r>
      <w:bookmarkEnd w:id="27"/>
    </w:p>
    <w:bookmarkEnd w:id="0"/>
    <w:p w14:paraId="0C1C5B47" w14:textId="77777777" w:rsidR="000A4F49" w:rsidRPr="00623EE6" w:rsidRDefault="000A4F49" w:rsidP="000A4F49">
      <w:pPr>
        <w:pStyle w:val="Heading3"/>
      </w:pPr>
      <w:r w:rsidRPr="00623EE6">
        <w:t>Performance</w:t>
      </w:r>
    </w:p>
    <w:p w14:paraId="36E67C99" w14:textId="77777777" w:rsidR="000A4F49" w:rsidRPr="00623EE6" w:rsidRDefault="000A4F49" w:rsidP="000A4F49">
      <w:pPr>
        <w:rPr>
          <w:color w:val="auto"/>
        </w:rPr>
      </w:pPr>
      <w:r w:rsidRPr="00623EE6">
        <w:rPr>
          <w:b/>
          <w:bCs/>
          <w:color w:val="auto"/>
          <w:lang w:eastAsia="en-GB"/>
        </w:rPr>
        <w:t>National outcome</w:t>
      </w:r>
      <w:r w:rsidRPr="00623EE6">
        <w:rPr>
          <w:color w:val="auto"/>
          <w:lang w:eastAsia="en-GB"/>
        </w:rPr>
        <w:t>:</w:t>
      </w:r>
      <w:r w:rsidRPr="00623EE6">
        <w:rPr>
          <w:color w:val="auto"/>
        </w:rPr>
        <w:t xml:space="preserve"> </w:t>
      </w:r>
    </w:p>
    <w:p w14:paraId="4346D033" w14:textId="77777777" w:rsidR="000A4F49" w:rsidRPr="00623EE6" w:rsidRDefault="000A4F49" w:rsidP="000A4F49">
      <w:pPr>
        <w:rPr>
          <w:color w:val="auto"/>
          <w:lang w:eastAsia="en-GB"/>
        </w:rPr>
      </w:pPr>
      <w:r w:rsidRPr="00623EE6">
        <w:rPr>
          <w:color w:val="auto"/>
          <w:lang w:eastAsia="en-GB"/>
        </w:rPr>
        <w:t>More people across the workforce and in the community understand, and have confidence in, community justice</w:t>
      </w:r>
    </w:p>
    <w:p w14:paraId="0EAE0D78" w14:textId="77777777" w:rsidR="000A4F49" w:rsidRPr="00623EE6" w:rsidRDefault="000A4F49" w:rsidP="000A4F49">
      <w:pPr>
        <w:rPr>
          <w:color w:val="auto"/>
          <w:lang w:eastAsia="en-GB"/>
        </w:rPr>
      </w:pPr>
      <w:r w:rsidRPr="00623EE6">
        <w:rPr>
          <w:b/>
          <w:bCs/>
          <w:color w:val="auto"/>
          <w:lang w:eastAsia="en-GB"/>
        </w:rPr>
        <w:t>National indicator</w:t>
      </w:r>
      <w:r w:rsidRPr="00623EE6">
        <w:rPr>
          <w:color w:val="auto"/>
          <w:lang w:eastAsia="en-GB"/>
        </w:rPr>
        <w:t xml:space="preserve">: </w:t>
      </w:r>
    </w:p>
    <w:p w14:paraId="46477F5F" w14:textId="0801593C" w:rsidR="000A4F49" w:rsidRPr="00623EE6" w:rsidRDefault="00D776F2" w:rsidP="001223CA">
      <w:pPr>
        <w:pStyle w:val="ListParagraph"/>
        <w:numPr>
          <w:ilvl w:val="1"/>
          <w:numId w:val="14"/>
        </w:numPr>
        <w:rPr>
          <w:color w:val="auto"/>
          <w:lang w:eastAsia="en-GB"/>
        </w:rPr>
      </w:pPr>
      <w:r>
        <w:rPr>
          <w:color w:val="auto"/>
          <w:lang w:eastAsia="en-GB"/>
        </w:rPr>
        <w:t>P</w:t>
      </w:r>
      <w:r w:rsidR="000A4F49" w:rsidRPr="00623EE6">
        <w:rPr>
          <w:color w:val="auto"/>
          <w:lang w:eastAsia="en-GB"/>
        </w:rPr>
        <w:t xml:space="preserve">ercentage of people who agree that: ‘people should help their community as part of a community sentence rather than spend a few months in prison for a minor offence’ </w:t>
      </w:r>
    </w:p>
    <w:p w14:paraId="3FEE43FE" w14:textId="77777777" w:rsidR="000A4F49" w:rsidRPr="00623EE6" w:rsidRDefault="000A4F49" w:rsidP="000A4F49">
      <w:pPr>
        <w:rPr>
          <w:color w:val="auto"/>
          <w:lang w:eastAsia="en-GB"/>
        </w:rPr>
      </w:pPr>
      <w:r w:rsidRPr="00623EE6">
        <w:rPr>
          <w:color w:val="auto"/>
          <w:lang w:eastAsia="en-GB"/>
        </w:rPr>
        <w:t>The following figure</w:t>
      </w:r>
      <w:r w:rsidRPr="00623EE6">
        <w:rPr>
          <w:rStyle w:val="FootnoteReference"/>
          <w:color w:val="auto"/>
          <w:lang w:eastAsia="en-GB"/>
        </w:rPr>
        <w:footnoteReference w:id="45"/>
      </w:r>
      <w:r w:rsidRPr="00623EE6">
        <w:rPr>
          <w:color w:val="auto"/>
          <w:lang w:eastAsia="en-GB"/>
        </w:rPr>
        <w:t xml:space="preserve"> demonstrates consistency against the baseline year 2017-18 when the Community Justice (Scotland) Act was implemented. </w:t>
      </w:r>
    </w:p>
    <w:p w14:paraId="32B33101" w14:textId="77777777" w:rsidR="000A4F49" w:rsidRPr="00623EE6" w:rsidRDefault="000A4F49" w:rsidP="000A4F49">
      <w:pPr>
        <w:rPr>
          <w:color w:val="auto"/>
          <w:lang w:eastAsia="en-GB"/>
        </w:rPr>
      </w:pPr>
      <w:r w:rsidRPr="00623EE6">
        <w:rPr>
          <w:noProof/>
        </w:rPr>
        <w:drawing>
          <wp:inline distT="0" distB="0" distL="0" distR="0" wp14:anchorId="4508E381" wp14:editId="010CA602">
            <wp:extent cx="5731510" cy="2640330"/>
            <wp:effectExtent l="0" t="0" r="2540" b="7620"/>
            <wp:docPr id="1523792152" name="Chart 1" descr="Graph of community confidence indicator">
              <a:extLst xmlns:a="http://schemas.openxmlformats.org/drawingml/2006/main">
                <a:ext uri="{FF2B5EF4-FFF2-40B4-BE49-F238E27FC236}">
                  <a16:creationId xmlns:a16="http://schemas.microsoft.com/office/drawing/2014/main" id="{541E8F16-9392-2F38-81A8-40FCF92DC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6BC304" w14:textId="77777777" w:rsidR="000A4F49" w:rsidRPr="00623EE6" w:rsidRDefault="000A4F49" w:rsidP="000A4F49">
      <w:pPr>
        <w:rPr>
          <w:color w:val="auto"/>
          <w:lang w:eastAsia="en-GB"/>
        </w:rPr>
      </w:pPr>
      <w:r w:rsidRPr="00623EE6">
        <w:rPr>
          <w:color w:val="auto"/>
          <w:lang w:eastAsia="en-GB"/>
        </w:rPr>
        <w:t xml:space="preserve">The following further extract from the </w:t>
      </w:r>
      <w:hyperlink r:id="rId63" w:history="1">
        <w:r w:rsidRPr="00623EE6">
          <w:rPr>
            <w:rStyle w:val="Hyperlink"/>
            <w:color w:val="auto"/>
            <w:lang w:eastAsia="en-GB"/>
          </w:rPr>
          <w:t>Scottish Crime and Justice Survey 2021-22</w:t>
        </w:r>
      </w:hyperlink>
      <w:r w:rsidRPr="00623EE6">
        <w:rPr>
          <w:color w:val="auto"/>
          <w:lang w:eastAsia="en-GB"/>
        </w:rPr>
        <w:t xml:space="preserve"> gives a sense of wider public attitudes to community sentences and unpaid work:</w:t>
      </w:r>
    </w:p>
    <w:p w14:paraId="04252728" w14:textId="77777777" w:rsidR="000A4F49" w:rsidRPr="00623EE6" w:rsidRDefault="000A4F49" w:rsidP="000A4F49">
      <w:pPr>
        <w:ind w:left="720"/>
      </w:pPr>
      <w:r w:rsidRPr="00623EE6">
        <w:t>‘How did the public view community sentences?</w:t>
      </w:r>
    </w:p>
    <w:p w14:paraId="205BCD93" w14:textId="77777777" w:rsidR="000A4F49" w:rsidRPr="00623EE6" w:rsidRDefault="000A4F49" w:rsidP="000A4F49">
      <w:pPr>
        <w:ind w:left="720"/>
      </w:pPr>
      <w:r w:rsidRPr="00623EE6">
        <w:t>The current questions on whether respondents agreed or disagreed with a series of statements relating to the purpose and operation of community sentences were developed in 2017/18. Results in 2021/22 show that:</w:t>
      </w:r>
    </w:p>
    <w:p w14:paraId="7CEA4209" w14:textId="5BF67B16" w:rsidR="000A4F49" w:rsidRPr="00623EE6" w:rsidRDefault="00D776F2" w:rsidP="001223CA">
      <w:pPr>
        <w:pStyle w:val="ListParagraph"/>
        <w:numPr>
          <w:ilvl w:val="1"/>
          <w:numId w:val="14"/>
        </w:numPr>
      </w:pPr>
      <w:r>
        <w:lastRenderedPageBreak/>
        <w:t>T</w:t>
      </w:r>
      <w:r w:rsidR="000A4F49" w:rsidRPr="00623EE6">
        <w:t xml:space="preserve">he </w:t>
      </w:r>
      <w:r w:rsidR="000A4F49" w:rsidRPr="000A4F49">
        <w:rPr>
          <w:b/>
          <w:bCs/>
        </w:rPr>
        <w:t>vast majority</w:t>
      </w:r>
      <w:r w:rsidR="000A4F49" w:rsidRPr="00623EE6">
        <w:t xml:space="preserve"> of adults (89%) believed that people serving community sentences should be given support (such as help with addiction or mental health problems, or numeracy or literacy difficulties) to reduce the likelihood of them committing more crime in the future </w:t>
      </w:r>
    </w:p>
    <w:p w14:paraId="41F457F8" w14:textId="4C19704B" w:rsidR="000A4F49" w:rsidRPr="00623EE6" w:rsidRDefault="00D776F2" w:rsidP="001223CA">
      <w:pPr>
        <w:pStyle w:val="ListParagraph"/>
        <w:numPr>
          <w:ilvl w:val="1"/>
          <w:numId w:val="14"/>
        </w:numPr>
      </w:pPr>
      <w:r>
        <w:rPr>
          <w:b/>
          <w:bCs/>
        </w:rPr>
        <w:t>M</w:t>
      </w:r>
      <w:r w:rsidR="000A4F49" w:rsidRPr="000A4F49">
        <w:rPr>
          <w:b/>
          <w:bCs/>
        </w:rPr>
        <w:t>ost people</w:t>
      </w:r>
      <w:r w:rsidR="000A4F49" w:rsidRPr="00623EE6">
        <w:t xml:space="preserve"> (82%) believed that people helping their community as part of a community sentence is an appropriate response for a minor offence rather than a short prison sentence</w:t>
      </w:r>
    </w:p>
    <w:p w14:paraId="55DF92F1" w14:textId="20B4E835" w:rsidR="000A4F49" w:rsidRPr="00623EE6" w:rsidRDefault="00D776F2" w:rsidP="001223CA">
      <w:pPr>
        <w:pStyle w:val="ListParagraph"/>
        <w:numPr>
          <w:ilvl w:val="1"/>
          <w:numId w:val="14"/>
        </w:numPr>
      </w:pPr>
      <w:r>
        <w:rPr>
          <w:b/>
          <w:bCs/>
        </w:rPr>
        <w:t>O</w:t>
      </w:r>
      <w:r w:rsidR="000A4F49" w:rsidRPr="000A4F49">
        <w:rPr>
          <w:b/>
          <w:bCs/>
        </w:rPr>
        <w:t>ver two-thirds</w:t>
      </w:r>
      <w:r w:rsidR="000A4F49" w:rsidRPr="00623EE6">
        <w:t xml:space="preserve"> (70%) believed that people who do not comply with the terms of their community sentence will be held to account</w:t>
      </w:r>
    </w:p>
    <w:p w14:paraId="7D151D2F" w14:textId="5777F1EC" w:rsidR="000A4F49" w:rsidRPr="00623EE6" w:rsidRDefault="00D776F2" w:rsidP="001223CA">
      <w:pPr>
        <w:pStyle w:val="ListParagraph"/>
        <w:numPr>
          <w:ilvl w:val="1"/>
          <w:numId w:val="14"/>
        </w:numPr>
      </w:pPr>
      <w:r>
        <w:rPr>
          <w:b/>
          <w:bCs/>
        </w:rPr>
        <w:t>A</w:t>
      </w:r>
      <w:r w:rsidR="000A4F49" w:rsidRPr="000A4F49">
        <w:rPr>
          <w:b/>
          <w:bCs/>
        </w:rPr>
        <w:t>round a quarter</w:t>
      </w:r>
      <w:r w:rsidR="000A4F49" w:rsidRPr="00623EE6">
        <w:t xml:space="preserve"> (24%) of adults believed that people who serve community sentences put the public at risk of crime </w:t>
      </w:r>
    </w:p>
    <w:p w14:paraId="2E0D9B06" w14:textId="77777777" w:rsidR="000A4F49" w:rsidRPr="00623EE6" w:rsidRDefault="000A4F49" w:rsidP="00D776F2">
      <w:r w:rsidRPr="00623EE6">
        <w:t xml:space="preserve">Respondents were also asked about their awareness and perceptions of unpaid work placements which can be completed as part of a community sentence. </w:t>
      </w:r>
      <w:r w:rsidRPr="000A4F49">
        <w:rPr>
          <w:b/>
          <w:bCs/>
        </w:rPr>
        <w:t>Just 14% of adults were aware of unpaid work</w:t>
      </w:r>
      <w:r w:rsidRPr="00623EE6">
        <w:t xml:space="preserve"> placements being carried out in their area, although amongst those who were aware of them, 73% agreed that their area had benefitted.’</w:t>
      </w:r>
      <w:r>
        <w:rPr>
          <w:rStyle w:val="FootnoteReference"/>
        </w:rPr>
        <w:footnoteReference w:id="46"/>
      </w:r>
      <w:r w:rsidRPr="00623EE6">
        <w:t xml:space="preserve"> </w:t>
      </w:r>
    </w:p>
    <w:p w14:paraId="5B00EDE6" w14:textId="77777777" w:rsidR="000A4F49" w:rsidRPr="00623EE6" w:rsidRDefault="000A4F49" w:rsidP="000A4F49">
      <w:pPr>
        <w:pStyle w:val="Heading3"/>
      </w:pPr>
      <w:r w:rsidRPr="00623EE6">
        <w:t>Wider evidence</w:t>
      </w:r>
    </w:p>
    <w:p w14:paraId="4DB37DA6" w14:textId="77777777" w:rsidR="000A4F49" w:rsidRPr="00623EE6" w:rsidRDefault="000A4F49" w:rsidP="000A4F49">
      <w:pPr>
        <w:rPr>
          <w:color w:val="auto"/>
        </w:rPr>
      </w:pPr>
      <w:r w:rsidRPr="00623EE6">
        <w:rPr>
          <w:color w:val="auto"/>
        </w:rPr>
        <w:t>CJS has a statutory obligation to promote community justice, raise awareness and build confidence. Over 2023-24, CJS worked to improve understanding of and confidence in community justice across the workforce and wider community.</w:t>
      </w:r>
      <w:r w:rsidRPr="00623EE6">
        <w:rPr>
          <w:rStyle w:val="FootnoteReference"/>
          <w:color w:val="auto"/>
        </w:rPr>
        <w:footnoteReference w:id="47"/>
      </w:r>
    </w:p>
    <w:p w14:paraId="79E83520" w14:textId="77777777" w:rsidR="000A4F49" w:rsidRPr="00623EE6" w:rsidRDefault="000A4F49" w:rsidP="000A4F49">
      <w:pPr>
        <w:rPr>
          <w:color w:val="auto"/>
        </w:rPr>
      </w:pPr>
      <w:r w:rsidRPr="00623EE6">
        <w:rPr>
          <w:color w:val="auto"/>
        </w:rPr>
        <w:t>Other national organisations such as the Scottish Sentencing Council also delivered activity that enhanced public and workforce understanding of community justice.</w:t>
      </w:r>
    </w:p>
    <w:p w14:paraId="5C4AF513" w14:textId="77777777" w:rsidR="000A4F49" w:rsidRDefault="000A4F49" w:rsidP="000A4F49">
      <w:pPr>
        <w:rPr>
          <w:color w:val="auto"/>
        </w:rPr>
      </w:pPr>
      <w:r w:rsidRPr="00623EE6">
        <w:rPr>
          <w:color w:val="auto"/>
        </w:rPr>
        <w:t xml:space="preserve">CJS continued to promote and develop content to increase awareness of community justice experiences, and to support justice agencies in communicating effectively about community justice in their local area. </w:t>
      </w:r>
    </w:p>
    <w:p w14:paraId="42A8BBD5" w14:textId="77777777" w:rsidR="000A4F49" w:rsidRDefault="000A4F49" w:rsidP="000A4F49">
      <w:pPr>
        <w:rPr>
          <w:color w:val="auto"/>
        </w:rPr>
      </w:pPr>
      <w:r w:rsidRPr="00623EE6">
        <w:rPr>
          <w:color w:val="auto"/>
        </w:rPr>
        <w:t>This included</w:t>
      </w:r>
      <w:r>
        <w:rPr>
          <w:color w:val="auto"/>
        </w:rPr>
        <w:t>:</w:t>
      </w:r>
    </w:p>
    <w:p w14:paraId="0F739F40" w14:textId="20188BF8"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Digital Content</w:t>
      </w:r>
      <w:r w:rsidRPr="000A4F49">
        <w:rPr>
          <w:rFonts w:eastAsia="Times New Roman" w:cs="Times New Roman"/>
        </w:rPr>
        <w:t>: CJS maintained an informative presence through its website, YouTube channel, and a free-to-use image library on Flickr, offering positive justice imagery that avoids stereotypes and negative tropes.</w:t>
      </w:r>
    </w:p>
    <w:p w14:paraId="61B10435" w14:textId="77777777"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Blog Series</w:t>
      </w:r>
      <w:r w:rsidRPr="000A4F49">
        <w:rPr>
          <w:rFonts w:eastAsia="Times New Roman" w:cs="Times New Roman"/>
        </w:rPr>
        <w:t xml:space="preserve">: Professionals from across community justice contributed blog posts on topics such as restorative justice, the role of electronic tags in </w:t>
      </w:r>
      <w:r w:rsidRPr="000A4F49">
        <w:rPr>
          <w:rFonts w:eastAsia="Times New Roman" w:cs="Times New Roman"/>
        </w:rPr>
        <w:lastRenderedPageBreak/>
        <w:t>rehabilitation, community justice in island communities, and the impact of training programs.</w:t>
      </w:r>
    </w:p>
    <w:p w14:paraId="5EFB5AAA" w14:textId="77777777"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Educational Resources</w:t>
      </w:r>
      <w:r w:rsidRPr="000A4F49">
        <w:rPr>
          <w:rFonts w:eastAsia="Times New Roman" w:cs="Times New Roman"/>
        </w:rPr>
        <w:t>: In January 2024, the Scottish Sentencing Council launched the first video in its educational series on sentencing options, focusing on community sentencing.</w:t>
      </w:r>
    </w:p>
    <w:p w14:paraId="6BD21DCC" w14:textId="77777777"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Media Engagement</w:t>
      </w:r>
      <w:r w:rsidRPr="000A4F49">
        <w:rPr>
          <w:rFonts w:eastAsia="Times New Roman" w:cs="Times New Roman"/>
        </w:rPr>
        <w:t>: CJS provided communications support to local areas, enabling engagement with local and national media. This effort resulted in over 440 million opportunities to view positive media coverage about community justice through opinion pieces and news stories across various platforms.</w:t>
      </w:r>
    </w:p>
    <w:p w14:paraId="76CE067B" w14:textId="77777777"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Social Media Outreach</w:t>
      </w:r>
      <w:r w:rsidRPr="000A4F49">
        <w:rPr>
          <w:rFonts w:eastAsia="Times New Roman" w:cs="Times New Roman"/>
        </w:rPr>
        <w:t>: CJS's social media content on community justice reached approximately one million users.</w:t>
      </w:r>
    </w:p>
    <w:p w14:paraId="58DB81C3" w14:textId="77777777"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Public Education Film</w:t>
      </w:r>
      <w:r w:rsidRPr="000A4F49">
        <w:rPr>
          <w:rFonts w:eastAsia="Times New Roman" w:cs="Times New Roman"/>
        </w:rPr>
        <w:t>: Based on public and stakeholder feedback, CJS developed a new film explaining community justice and its societal benefits.</w:t>
      </w:r>
    </w:p>
    <w:p w14:paraId="780DF106" w14:textId="77777777" w:rsidR="000A4F49" w:rsidRPr="000A4F49" w:rsidRDefault="000A4F49" w:rsidP="001223CA">
      <w:pPr>
        <w:numPr>
          <w:ilvl w:val="0"/>
          <w:numId w:val="60"/>
        </w:numPr>
        <w:spacing w:before="100" w:beforeAutospacing="1" w:after="100" w:afterAutospacing="1" w:line="240" w:lineRule="auto"/>
        <w:rPr>
          <w:rFonts w:eastAsia="Times New Roman" w:cs="Times New Roman"/>
        </w:rPr>
      </w:pPr>
      <w:r w:rsidRPr="000A0614">
        <w:rPr>
          <w:rStyle w:val="Strong"/>
          <w:rFonts w:eastAsia="Times New Roman"/>
        </w:rPr>
        <w:t>Judiciary Information Platform</w:t>
      </w:r>
      <w:r w:rsidRPr="000A4F49">
        <w:rPr>
          <w:rFonts w:eastAsia="Times New Roman" w:cs="Times New Roman"/>
        </w:rPr>
        <w:t>: CJS led the creation of the Community Interventions and Support Directory, an accessible database launched in June 2024 to assist the judiciary in identifying local services.</w:t>
      </w:r>
    </w:p>
    <w:p w14:paraId="5C7EA486" w14:textId="087F31F8" w:rsidR="000A4F49" w:rsidRPr="00BB5B2C" w:rsidRDefault="000A4F49" w:rsidP="001223CA">
      <w:pPr>
        <w:numPr>
          <w:ilvl w:val="0"/>
          <w:numId w:val="60"/>
        </w:numPr>
        <w:spacing w:before="100" w:beforeAutospacing="1" w:after="100" w:afterAutospacing="1" w:line="240" w:lineRule="auto"/>
        <w:rPr>
          <w:color w:val="auto"/>
        </w:rPr>
      </w:pPr>
      <w:r w:rsidRPr="000A0614">
        <w:rPr>
          <w:rStyle w:val="Strong"/>
          <w:rFonts w:eastAsia="Times New Roman"/>
        </w:rPr>
        <w:t>National Event</w:t>
      </w:r>
      <w:r w:rsidRPr="000A4F49">
        <w:rPr>
          <w:rFonts w:eastAsia="Times New Roman" w:cs="Times New Roman"/>
        </w:rPr>
        <w:t>: In October 2023, CJS hosted 'How Small Steps Fuel Bold Change,' bringing together community justice professionals from across Scotland to hear from international speakers and explore strategies for improving justice outcomes.</w:t>
      </w:r>
    </w:p>
    <w:p w14:paraId="017A7DA7" w14:textId="77777777" w:rsidR="000A4F49" w:rsidRPr="000A4F49" w:rsidRDefault="000A4F49" w:rsidP="000A4F49">
      <w:pPr>
        <w:rPr>
          <w:b/>
          <w:bCs/>
          <w:color w:val="auto"/>
          <w:sz w:val="28"/>
          <w:szCs w:val="28"/>
        </w:rPr>
      </w:pPr>
      <w:r w:rsidRPr="000A4F49">
        <w:rPr>
          <w:b/>
          <w:bCs/>
          <w:color w:val="auto"/>
          <w:sz w:val="28"/>
          <w:szCs w:val="28"/>
        </w:rPr>
        <w:t>Judicial support tool</w:t>
      </w:r>
    </w:p>
    <w:p w14:paraId="6BBB5568" w14:textId="689DCD14" w:rsidR="000A4F49" w:rsidRPr="00623EE6" w:rsidRDefault="000A4F49" w:rsidP="000A4F49">
      <w:pPr>
        <w:rPr>
          <w:color w:val="auto"/>
        </w:rPr>
      </w:pPr>
      <w:r w:rsidRPr="00623EE6">
        <w:rPr>
          <w:color w:val="auto"/>
        </w:rPr>
        <w:t>CJS led a project to create an information platform for the judiciary to access information about services available in local areas</w:t>
      </w:r>
      <w:r>
        <w:rPr>
          <w:color w:val="auto"/>
        </w:rPr>
        <w:t xml:space="preserve"> and </w:t>
      </w:r>
      <w:r w:rsidRPr="00623EE6">
        <w:rPr>
          <w:color w:val="auto"/>
        </w:rPr>
        <w:t xml:space="preserve">worked with local areas across the reporting year to populate an accessible database of services available at local authority level to support sentencers in considering their options. The </w:t>
      </w:r>
      <w:hyperlink r:id="rId64" w:history="1">
        <w:r w:rsidRPr="00623EE6">
          <w:rPr>
            <w:rStyle w:val="Hyperlink"/>
            <w:color w:val="auto"/>
          </w:rPr>
          <w:t>Community Interventions and Support Directory</w:t>
        </w:r>
      </w:hyperlink>
      <w:r w:rsidRPr="00623EE6">
        <w:rPr>
          <w:color w:val="auto"/>
        </w:rPr>
        <w:t xml:space="preserve"> was subsequently launched in June 2024.</w:t>
      </w:r>
    </w:p>
    <w:p w14:paraId="7DDD7D81" w14:textId="77777777" w:rsidR="000A4F49" w:rsidRDefault="000A4F49" w:rsidP="000A4F49">
      <w:pPr>
        <w:rPr>
          <w:color w:val="auto"/>
        </w:rPr>
      </w:pPr>
    </w:p>
    <w:p w14:paraId="424AD14D" w14:textId="77777777" w:rsidR="00A40E60" w:rsidRDefault="00A40E60">
      <w:pPr>
        <w:spacing w:line="240" w:lineRule="auto"/>
        <w:rPr>
          <w:b/>
          <w:bCs/>
          <w:color w:val="auto"/>
          <w:sz w:val="28"/>
          <w:szCs w:val="28"/>
        </w:rPr>
      </w:pPr>
      <w:r>
        <w:rPr>
          <w:b/>
          <w:bCs/>
          <w:color w:val="auto"/>
          <w:sz w:val="28"/>
          <w:szCs w:val="28"/>
        </w:rPr>
        <w:br w:type="page"/>
      </w:r>
    </w:p>
    <w:p w14:paraId="3524C27D" w14:textId="3B04CD75" w:rsidR="000A4F49" w:rsidRPr="000A4F49" w:rsidRDefault="000A4F49" w:rsidP="000A4F49">
      <w:pPr>
        <w:rPr>
          <w:b/>
          <w:bCs/>
          <w:color w:val="auto"/>
          <w:sz w:val="28"/>
          <w:szCs w:val="28"/>
        </w:rPr>
      </w:pPr>
      <w:r w:rsidRPr="000A4F49">
        <w:rPr>
          <w:b/>
          <w:bCs/>
          <w:color w:val="auto"/>
          <w:sz w:val="28"/>
          <w:szCs w:val="28"/>
        </w:rPr>
        <w:lastRenderedPageBreak/>
        <w:t>Local Activity</w:t>
      </w:r>
    </w:p>
    <w:p w14:paraId="5E45FC5E" w14:textId="77777777" w:rsidR="000A4F49" w:rsidRDefault="000A4F49" w:rsidP="000A4F49">
      <w:pPr>
        <w:rPr>
          <w:color w:val="auto"/>
        </w:rPr>
      </w:pPr>
      <w:r w:rsidRPr="00623EE6">
        <w:rPr>
          <w:color w:val="auto"/>
        </w:rPr>
        <w:t xml:space="preserve">Several local areas identified the promotion of community justice and its associated benefits as a priority for their local partnership within the reporting year, highlighting target audiences that included the public, justice professionals (including the judiciary), and third sector and non-justice organisations. </w:t>
      </w:r>
    </w:p>
    <w:p w14:paraId="3DEF7C83" w14:textId="214ACFD6" w:rsidR="000A4F49" w:rsidRDefault="000A4F49" w:rsidP="000A4F49">
      <w:pPr>
        <w:rPr>
          <w:color w:val="auto"/>
        </w:rPr>
      </w:pPr>
      <w:r w:rsidRPr="00623EE6">
        <w:rPr>
          <w:color w:val="auto"/>
        </w:rPr>
        <w:t>This activity was most often linked to unpaid work activity – local areas recognise the potential impact of communicating proactively the positive outcomes and added value to the community that this aspect of community justice provides.</w:t>
      </w:r>
      <w:r>
        <w:rPr>
          <w:color w:val="auto"/>
        </w:rPr>
        <w:t xml:space="preserve"> They documented</w:t>
      </w:r>
      <w:r w:rsidRPr="00623EE6">
        <w:rPr>
          <w:color w:val="auto"/>
        </w:rPr>
        <w:t xml:space="preserve"> a range of approaches including</w:t>
      </w:r>
      <w:r>
        <w:rPr>
          <w:color w:val="auto"/>
        </w:rPr>
        <w:t>:</w:t>
      </w:r>
    </w:p>
    <w:p w14:paraId="278889AE" w14:textId="77777777" w:rsidR="000A4F49" w:rsidRPr="000A4F49" w:rsidRDefault="000A4F49" w:rsidP="001223CA">
      <w:pPr>
        <w:numPr>
          <w:ilvl w:val="0"/>
          <w:numId w:val="61"/>
        </w:numPr>
        <w:spacing w:before="100" w:beforeAutospacing="1" w:after="100" w:afterAutospacing="1" w:line="240" w:lineRule="auto"/>
        <w:rPr>
          <w:rFonts w:eastAsia="Times New Roman" w:cs="Times New Roman"/>
        </w:rPr>
      </w:pPr>
      <w:r w:rsidRPr="00436E12">
        <w:rPr>
          <w:rStyle w:val="Strong"/>
          <w:rFonts w:eastAsia="Times New Roman"/>
        </w:rPr>
        <w:t>Unpaid Work Promotion</w:t>
      </w:r>
      <w:r w:rsidRPr="000A4F49">
        <w:rPr>
          <w:rFonts w:eastAsia="Times New Roman" w:cs="Times New Roman"/>
        </w:rPr>
        <w:t>: Many local areas highlighted the positive outcomes of unpaid work, using events, media engagement, and social media to showcase its community benefits.</w:t>
      </w:r>
    </w:p>
    <w:p w14:paraId="3C1694C1" w14:textId="77777777" w:rsidR="000A4F49" w:rsidRPr="000A4F49" w:rsidRDefault="000A4F49" w:rsidP="001223CA">
      <w:pPr>
        <w:numPr>
          <w:ilvl w:val="0"/>
          <w:numId w:val="61"/>
        </w:numPr>
        <w:spacing w:before="100" w:beforeAutospacing="1" w:after="100" w:afterAutospacing="1" w:line="240" w:lineRule="auto"/>
        <w:rPr>
          <w:rFonts w:eastAsia="Times New Roman" w:cs="Times New Roman"/>
        </w:rPr>
      </w:pPr>
      <w:r w:rsidRPr="00436E12">
        <w:rPr>
          <w:rStyle w:val="Strong"/>
          <w:rFonts w:eastAsia="Times New Roman"/>
        </w:rPr>
        <w:t>Strategic Partnerships</w:t>
      </w:r>
      <w:r w:rsidRPr="000A4F49">
        <w:rPr>
          <w:rFonts w:eastAsia="Times New Roman" w:cs="Times New Roman"/>
        </w:rPr>
        <w:t>: Efforts were made to strengthen connections with other policy areas, such as housing, health, education, and public protection, enhancing collaboration and reducing duplication.</w:t>
      </w:r>
    </w:p>
    <w:p w14:paraId="495580F6" w14:textId="77777777" w:rsidR="000A4F49" w:rsidRPr="000A4F49" w:rsidRDefault="000A4F49" w:rsidP="001223CA">
      <w:pPr>
        <w:numPr>
          <w:ilvl w:val="0"/>
          <w:numId w:val="61"/>
        </w:numPr>
        <w:spacing w:before="100" w:beforeAutospacing="1" w:after="100" w:afterAutospacing="1" w:line="240" w:lineRule="auto"/>
        <w:rPr>
          <w:rFonts w:eastAsia="Times New Roman" w:cs="Times New Roman"/>
        </w:rPr>
      </w:pPr>
      <w:r w:rsidRPr="00436E12">
        <w:rPr>
          <w:rStyle w:val="Strong"/>
          <w:rFonts w:eastAsia="Times New Roman"/>
        </w:rPr>
        <w:t>Training and Awareness Initiatives</w:t>
      </w:r>
      <w:r w:rsidRPr="000A4F49">
        <w:rPr>
          <w:rFonts w:eastAsia="Times New Roman" w:cs="Times New Roman"/>
        </w:rPr>
        <w:t xml:space="preserve">: Local areas delivered multi-agency training, participated in events, and promoted community justice content via </w:t>
      </w:r>
      <w:r>
        <w:rPr>
          <w:rFonts w:eastAsia="Times New Roman" w:cs="Times New Roman"/>
        </w:rPr>
        <w:t xml:space="preserve">websites, </w:t>
      </w:r>
      <w:r w:rsidRPr="000A4F49">
        <w:rPr>
          <w:rFonts w:eastAsia="Times New Roman" w:cs="Times New Roman"/>
        </w:rPr>
        <w:t>newsletters, bulletins, and social media.</w:t>
      </w:r>
    </w:p>
    <w:p w14:paraId="704136D4" w14:textId="77777777" w:rsidR="000A4F49" w:rsidRPr="000A4F49" w:rsidRDefault="000A4F49" w:rsidP="001223CA">
      <w:pPr>
        <w:numPr>
          <w:ilvl w:val="0"/>
          <w:numId w:val="61"/>
        </w:numPr>
        <w:spacing w:before="100" w:beforeAutospacing="1" w:after="100" w:afterAutospacing="1" w:line="240" w:lineRule="auto"/>
        <w:rPr>
          <w:rFonts w:eastAsia="Times New Roman" w:cs="Times New Roman"/>
        </w:rPr>
      </w:pPr>
      <w:r w:rsidRPr="00436E12">
        <w:rPr>
          <w:rStyle w:val="Strong"/>
          <w:rFonts w:eastAsia="Times New Roman"/>
        </w:rPr>
        <w:t>Public Engagement</w:t>
      </w:r>
      <w:r w:rsidRPr="000A4F49">
        <w:rPr>
          <w:rFonts w:eastAsia="Times New Roman" w:cs="Times New Roman"/>
        </w:rPr>
        <w:t>: Community justice partnerships regularly published reports, consulted communities, and utili</w:t>
      </w:r>
      <w:r>
        <w:rPr>
          <w:rFonts w:eastAsia="Times New Roman" w:cs="Times New Roman"/>
        </w:rPr>
        <w:t>s</w:t>
      </w:r>
      <w:r w:rsidRPr="000A4F49">
        <w:rPr>
          <w:rFonts w:eastAsia="Times New Roman" w:cs="Times New Roman"/>
        </w:rPr>
        <w:t>ed creative strategies like podcasts and storytelling to raise awareness.</w:t>
      </w:r>
    </w:p>
    <w:p w14:paraId="10E15E93" w14:textId="77777777" w:rsidR="000A4F49" w:rsidRPr="000A4F49" w:rsidRDefault="000A4F49" w:rsidP="001223CA">
      <w:pPr>
        <w:numPr>
          <w:ilvl w:val="0"/>
          <w:numId w:val="61"/>
        </w:numPr>
        <w:spacing w:before="100" w:beforeAutospacing="1" w:after="100" w:afterAutospacing="1" w:line="240" w:lineRule="auto"/>
        <w:rPr>
          <w:rFonts w:eastAsia="Times New Roman" w:cs="Times New Roman"/>
        </w:rPr>
      </w:pPr>
      <w:r w:rsidRPr="00436E12">
        <w:rPr>
          <w:rStyle w:val="Strong"/>
          <w:rFonts w:eastAsia="Times New Roman"/>
        </w:rPr>
        <w:t>Lived Experience Engagement</w:t>
      </w:r>
      <w:r w:rsidRPr="000A4F49">
        <w:rPr>
          <w:rFonts w:eastAsia="Times New Roman" w:cs="Times New Roman"/>
        </w:rPr>
        <w:t>: Direct involvement of those affected by community justice helped shape improvement plans, policies, and services.</w:t>
      </w:r>
    </w:p>
    <w:p w14:paraId="62897019" w14:textId="22423BEF" w:rsidR="000A4F49" w:rsidRPr="0060743F" w:rsidRDefault="000A4F49" w:rsidP="001223CA">
      <w:pPr>
        <w:numPr>
          <w:ilvl w:val="0"/>
          <w:numId w:val="61"/>
        </w:numPr>
        <w:spacing w:before="100" w:beforeAutospacing="1" w:after="100" w:afterAutospacing="1" w:line="240" w:lineRule="auto"/>
        <w:rPr>
          <w:rFonts w:eastAsia="Times New Roman" w:cs="Times New Roman"/>
        </w:rPr>
      </w:pPr>
      <w:r w:rsidRPr="00436E12">
        <w:rPr>
          <w:rStyle w:val="Strong"/>
          <w:rFonts w:eastAsia="Times New Roman"/>
        </w:rPr>
        <w:t>Cross-Sector Training</w:t>
      </w:r>
      <w:r w:rsidRPr="000A4F49">
        <w:rPr>
          <w:rFonts w:eastAsia="Times New Roman" w:cs="Times New Roman"/>
        </w:rPr>
        <w:t>: Trauma and anti-stigma training enhanced workforce empathy and understanding, positioning justice professionals as trusted community resources.</w:t>
      </w:r>
    </w:p>
    <w:p w14:paraId="4D9E6757" w14:textId="77777777" w:rsidR="000A4F49" w:rsidRPr="000A4F49" w:rsidRDefault="000A4F49" w:rsidP="000A4F49">
      <w:pPr>
        <w:rPr>
          <w:b/>
          <w:bCs/>
          <w:color w:val="auto"/>
          <w:sz w:val="28"/>
          <w:szCs w:val="28"/>
        </w:rPr>
      </w:pPr>
      <w:r w:rsidRPr="000A4F49">
        <w:rPr>
          <w:b/>
          <w:bCs/>
          <w:color w:val="auto"/>
          <w:sz w:val="28"/>
          <w:szCs w:val="28"/>
        </w:rPr>
        <w:t>Reducing Stigma</w:t>
      </w:r>
    </w:p>
    <w:p w14:paraId="50EF62E6" w14:textId="65A8CB7E" w:rsidR="000A4F49" w:rsidRPr="00623EE6" w:rsidRDefault="000A4F49" w:rsidP="000A4F49">
      <w:pPr>
        <w:rPr>
          <w:color w:val="auto"/>
          <w:lang w:eastAsia="en-GB"/>
        </w:rPr>
      </w:pPr>
      <w:r w:rsidRPr="00623EE6">
        <w:rPr>
          <w:color w:val="auto"/>
        </w:rPr>
        <w:t>Reducing stigma is a priority, with efforts aimed at changing perceptions of individuals within the justice system. Partnerships with third sector organisations, trauma-informed training and public campaigns have contributed to this goal.</w:t>
      </w:r>
      <w:r w:rsidRPr="00072CBF">
        <w:rPr>
          <w:color w:val="auto"/>
          <w:lang w:eastAsia="en-GB"/>
        </w:rPr>
        <w:t xml:space="preserve"> </w:t>
      </w:r>
      <w:r>
        <w:rPr>
          <w:color w:val="auto"/>
          <w:lang w:eastAsia="en-GB"/>
        </w:rPr>
        <w:t>E</w:t>
      </w:r>
      <w:r w:rsidRPr="00623EE6">
        <w:rPr>
          <w:color w:val="auto"/>
          <w:lang w:eastAsia="en-GB"/>
        </w:rPr>
        <w:t>vidence indicates that strategic engagement with linked policy areas to enhance joint working towards shared outcomes is valued by the community justice workforce</w:t>
      </w:r>
      <w:r w:rsidR="00D776F2">
        <w:rPr>
          <w:color w:val="auto"/>
          <w:lang w:eastAsia="en-GB"/>
        </w:rPr>
        <w:t xml:space="preserve"> </w:t>
      </w:r>
      <w:r w:rsidRPr="00623EE6">
        <w:rPr>
          <w:color w:val="auto"/>
          <w:lang w:eastAsia="en-GB"/>
        </w:rPr>
        <w:t>and is perceived to have an impact on the understanding and attitude of the workforce in other areas of practice.</w:t>
      </w:r>
    </w:p>
    <w:p w14:paraId="68C83A88" w14:textId="38DAF439" w:rsidR="000A4F49" w:rsidRDefault="000A4F49" w:rsidP="000A4F49">
      <w:pPr>
        <w:rPr>
          <w:color w:val="auto"/>
        </w:rPr>
      </w:pPr>
      <w:r w:rsidRPr="00623EE6">
        <w:rPr>
          <w:color w:val="auto"/>
        </w:rPr>
        <w:t>Engagement with those directly affected by community justice has been a recurring theme, ensuring their voices inform improvement plans, policy development and service delivery.</w:t>
      </w:r>
      <w:r>
        <w:rPr>
          <w:color w:val="auto"/>
        </w:rPr>
        <w:t xml:space="preserve"> </w:t>
      </w:r>
      <w:r w:rsidRPr="00623EE6">
        <w:rPr>
          <w:color w:val="auto"/>
        </w:rPr>
        <w:t>Trauma-informed practice and awareness-raising sessions have been integral in equipping the workforce with the skills to understand some of the complexity that lies behind behaviours.</w:t>
      </w:r>
    </w:p>
    <w:p w14:paraId="64F36147" w14:textId="0F7F8604" w:rsidR="00FE271E" w:rsidRDefault="000A4F49" w:rsidP="00FE271E">
      <w:pPr>
        <w:rPr>
          <w:rFonts w:cs="Arial"/>
        </w:rPr>
      </w:pPr>
      <w:r w:rsidRPr="00623EE6">
        <w:rPr>
          <w:color w:val="auto"/>
        </w:rPr>
        <w:lastRenderedPageBreak/>
        <w:t>There are some excellent examples of partnerships contributing to awareness among the community justice workforce and public.</w:t>
      </w:r>
      <w:bookmarkStart w:id="28" w:name="_Hlk188875445"/>
      <w:r>
        <w:rPr>
          <w:color w:val="auto"/>
        </w:rPr>
        <w:t xml:space="preserve"> </w:t>
      </w:r>
      <w:r w:rsidRPr="00623EE6">
        <w:rPr>
          <w:color w:val="auto"/>
        </w:rPr>
        <w:t>The wider community justice workforce remains the most valuable asset in championing community justice</w:t>
      </w:r>
      <w:r>
        <w:rPr>
          <w:color w:val="auto"/>
        </w:rPr>
        <w:t xml:space="preserve">, and people with </w:t>
      </w:r>
      <w:r w:rsidRPr="00623EE6">
        <w:rPr>
          <w:color w:val="auto"/>
        </w:rPr>
        <w:t>practical expertise are increasingly viewed as trusted sources of information within communities. Cross-sector trauma and anti-stigma training have enhanced the workforce's ability to approach their work with greater empathy and understanding. CJPs also play a key role by organising events to disseminate the evidence underpinning community justice to the broader workforce. Looking ahead, this will require a stronger and more strategic focus.</w:t>
      </w:r>
      <w:bookmarkEnd w:id="28"/>
      <w:r w:rsidR="00FE271E">
        <w:rPr>
          <w:color w:val="auto"/>
        </w:rPr>
        <w:br w:type="page"/>
      </w:r>
    </w:p>
    <w:p w14:paraId="67E7DA2D" w14:textId="77777777" w:rsidR="00FE271E" w:rsidRDefault="00FE271E" w:rsidP="00FE271E">
      <w:pPr>
        <w:rPr>
          <w:rFonts w:cs="Arial"/>
        </w:rPr>
      </w:pPr>
    </w:p>
    <w:p w14:paraId="44A9D414" w14:textId="77777777" w:rsidR="00FE271E" w:rsidRPr="000D6416" w:rsidRDefault="00FE271E" w:rsidP="00FE271E">
      <w:pPr>
        <w:rPr>
          <w:rFonts w:cs="Arial"/>
        </w:rPr>
      </w:pPr>
      <w:r>
        <w:rPr>
          <w:noProof/>
        </w:rPr>
        <mc:AlternateContent>
          <mc:Choice Requires="wps">
            <w:drawing>
              <wp:anchor distT="0" distB="0" distL="114300" distR="114300" simplePos="0" relativeHeight="251671552" behindDoc="0" locked="1" layoutInCell="1" allowOverlap="1" wp14:anchorId="3F885621" wp14:editId="6C5D094D">
                <wp:simplePos x="0" y="0"/>
                <wp:positionH relativeFrom="margin">
                  <wp:align>left</wp:align>
                </wp:positionH>
                <wp:positionV relativeFrom="paragraph">
                  <wp:posOffset>5445125</wp:posOffset>
                </wp:positionV>
                <wp:extent cx="3207385" cy="2752725"/>
                <wp:effectExtent l="0" t="0" r="0" b="0"/>
                <wp:wrapNone/>
                <wp:docPr id="435693456" name="Text Box 435693456"/>
                <wp:cNvGraphicFramePr/>
                <a:graphic xmlns:a="http://schemas.openxmlformats.org/drawingml/2006/main">
                  <a:graphicData uri="http://schemas.microsoft.com/office/word/2010/wordprocessingShape">
                    <wps:wsp>
                      <wps:cNvSpPr txBox="1"/>
                      <wps:spPr>
                        <a:xfrm>
                          <a:off x="0" y="0"/>
                          <a:ext cx="3207385" cy="2752725"/>
                        </a:xfrm>
                        <a:prstGeom prst="rect">
                          <a:avLst/>
                        </a:prstGeom>
                        <a:noFill/>
                        <a:ln w="6350">
                          <a:noFill/>
                        </a:ln>
                      </wps:spPr>
                      <wps:txbx>
                        <w:txbxContent>
                          <w:p w14:paraId="360B3C3A" w14:textId="35FA23E4" w:rsidR="00FE271E" w:rsidRPr="00A536F8" w:rsidRDefault="00FE271E" w:rsidP="00FE271E">
                            <w:pPr>
                              <w:spacing w:line="240" w:lineRule="auto"/>
                            </w:pPr>
                            <w:r w:rsidRPr="00A536F8">
                              <w:rPr>
                                <w:rFonts w:cs="Open Sans"/>
                              </w:rPr>
                              <w:t xml:space="preserve">First published </w:t>
                            </w:r>
                            <w:r>
                              <w:rPr>
                                <w:rFonts w:cs="Open Sans"/>
                                <w:b/>
                                <w:bCs/>
                              </w:rPr>
                              <w:t>March 2025</w:t>
                            </w:r>
                          </w:p>
                          <w:p w14:paraId="68125569" w14:textId="77777777" w:rsidR="00FE271E" w:rsidRPr="00A536F8" w:rsidRDefault="00FE271E" w:rsidP="00FE271E">
                            <w:pPr>
                              <w:spacing w:line="240" w:lineRule="auto"/>
                              <w:rPr>
                                <w:rFonts w:cs="Open Sans"/>
                              </w:rPr>
                            </w:pPr>
                            <w:r w:rsidRPr="00A536F8">
                              <w:rPr>
                                <w:rFonts w:cs="Open Sans"/>
                              </w:rPr>
                              <w:t>Community Justice Scotland</w:t>
                            </w:r>
                          </w:p>
                          <w:p w14:paraId="22637CE8" w14:textId="77777777" w:rsidR="00FE271E" w:rsidRDefault="00FE271E" w:rsidP="00FE271E">
                            <w:pPr>
                              <w:spacing w:line="240" w:lineRule="auto"/>
                              <w:rPr>
                                <w:rFonts w:cs="Open Sans"/>
                              </w:rPr>
                            </w:pPr>
                            <w:proofErr w:type="spellStart"/>
                            <w:r w:rsidRPr="00A536F8">
                              <w:rPr>
                                <w:rFonts w:cs="Open Sans"/>
                              </w:rPr>
                              <w:t>R1</w:t>
                            </w:r>
                            <w:proofErr w:type="spellEnd"/>
                            <w:r w:rsidRPr="00A536F8">
                              <w:rPr>
                                <w:rFonts w:cs="Open Sans"/>
                              </w:rPr>
                              <w:t xml:space="preserve"> Spur, </w:t>
                            </w:r>
                            <w:proofErr w:type="spellStart"/>
                            <w:r w:rsidRPr="00A536F8">
                              <w:rPr>
                                <w:rFonts w:cs="Open Sans"/>
                              </w:rPr>
                              <w:t>S</w:t>
                            </w:r>
                            <w:r>
                              <w:rPr>
                                <w:rFonts w:cs="Open Sans"/>
                              </w:rPr>
                              <w:t>a</w:t>
                            </w:r>
                            <w:r w:rsidRPr="00A536F8">
                              <w:rPr>
                                <w:rFonts w:cs="Open Sans"/>
                              </w:rPr>
                              <w:t>ughton</w:t>
                            </w:r>
                            <w:proofErr w:type="spellEnd"/>
                            <w:r w:rsidRPr="00A536F8">
                              <w:rPr>
                                <w:rFonts w:cs="Open Sans"/>
                              </w:rPr>
                              <w:t xml:space="preserve"> House</w:t>
                            </w:r>
                            <w:r>
                              <w:rPr>
                                <w:rFonts w:cs="Open Sans"/>
                              </w:rPr>
                              <w:t>,</w:t>
                            </w:r>
                          </w:p>
                          <w:p w14:paraId="5DBB8900" w14:textId="77777777" w:rsidR="00FE271E" w:rsidRDefault="00FE271E" w:rsidP="00FE271E">
                            <w:pPr>
                              <w:spacing w:line="240" w:lineRule="auto"/>
                              <w:rPr>
                                <w:rFonts w:cs="Open Sans"/>
                              </w:rPr>
                            </w:pPr>
                            <w:proofErr w:type="spellStart"/>
                            <w:r>
                              <w:rPr>
                                <w:rFonts w:cs="Open Sans"/>
                              </w:rPr>
                              <w:t>Broomhouse</w:t>
                            </w:r>
                            <w:proofErr w:type="spellEnd"/>
                            <w:r>
                              <w:rPr>
                                <w:rFonts w:cs="Open Sans"/>
                              </w:rPr>
                              <w:t xml:space="preserve"> Drive,</w:t>
                            </w:r>
                          </w:p>
                          <w:p w14:paraId="7E83B218" w14:textId="77777777" w:rsidR="00FE271E" w:rsidRDefault="00FE271E" w:rsidP="00FE271E">
                            <w:pPr>
                              <w:spacing w:line="240" w:lineRule="auto"/>
                              <w:rPr>
                                <w:rFonts w:cs="Open Sans"/>
                              </w:rPr>
                            </w:pPr>
                            <w:r>
                              <w:rPr>
                                <w:rFonts w:cs="Open Sans"/>
                              </w:rPr>
                              <w:t>Edinburgh EH11 3XD</w:t>
                            </w:r>
                          </w:p>
                          <w:p w14:paraId="1D542E8B" w14:textId="77777777" w:rsidR="00FE271E" w:rsidRDefault="00FE271E" w:rsidP="00FE271E">
                            <w:pPr>
                              <w:spacing w:line="240" w:lineRule="auto"/>
                              <w:rPr>
                                <w:rFonts w:cs="Open Sans"/>
                              </w:rPr>
                            </w:pPr>
                            <w:r w:rsidRPr="00A536F8">
                              <w:rPr>
                                <w:rFonts w:cs="Open Sans"/>
                                <w:b/>
                                <w:bCs/>
                              </w:rPr>
                              <w:t>T</w:t>
                            </w:r>
                            <w:r>
                              <w:rPr>
                                <w:rFonts w:cs="Open Sans"/>
                              </w:rPr>
                              <w:t>: 0300 244 8420</w:t>
                            </w:r>
                          </w:p>
                          <w:p w14:paraId="418A4CA8" w14:textId="77777777" w:rsidR="00FE271E" w:rsidRDefault="00FE271E" w:rsidP="00FE271E">
                            <w:pPr>
                              <w:spacing w:line="240" w:lineRule="auto"/>
                              <w:rPr>
                                <w:rFonts w:cs="Open Sans"/>
                                <w:b/>
                                <w:bCs/>
                              </w:rPr>
                            </w:pPr>
                            <w:r w:rsidRPr="00A536F8">
                              <w:rPr>
                                <w:rFonts w:cs="Open Sans"/>
                                <w:b/>
                                <w:bCs/>
                              </w:rPr>
                              <w:t>www.communityjustice.scot</w:t>
                            </w:r>
                          </w:p>
                          <w:p w14:paraId="71ABB1C7" w14:textId="77777777" w:rsidR="00FE271E" w:rsidRPr="00A536F8" w:rsidRDefault="00FE271E" w:rsidP="00FE271E">
                            <w:pPr>
                              <w:rPr>
                                <w:rFonts w:cs="Open Sans"/>
                              </w:rPr>
                            </w:pPr>
                            <w:r w:rsidRPr="00A536F8">
                              <w:rPr>
                                <w:rFonts w:cs="Open Sans"/>
                              </w:rPr>
                              <w:t>To view our privacy policy, visit our</w:t>
                            </w:r>
                            <w:r>
                              <w:rPr>
                                <w:rFonts w:cs="Open Sans"/>
                              </w:rPr>
                              <w:t xml:space="preserve"> website at: </w:t>
                            </w:r>
                            <w:hyperlink r:id="rId65" w:history="1">
                              <w:r w:rsidRPr="003570EA">
                                <w:rPr>
                                  <w:rStyle w:val="Hyperlink"/>
                                  <w:rFonts w:cs="Open Sans"/>
                                  <w:b/>
                                  <w:bCs/>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5621" id="Text Box 435693456" o:spid="_x0000_s1027" type="#_x0000_t202" style="position:absolute;margin-left:0;margin-top:428.75pt;width:252.55pt;height:216.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daGwIAADQEAAAOAAAAZHJzL2Uyb0RvYy54bWysU8tu2zAQvBfoPxC815JlO04Ey4GbwEUB&#10;IwngFDnTFGkJoLgsSVtyv75Lyi+kPQW5ULvc1T5mhrP7rlFkL6yrQRd0OEgpEZpDWettQX+9Lr/d&#10;UuI80yVToEVBD8LR+/nXL7PW5CKDClQpLMEi2uWtKWjlvcmTxPFKNMwNwAiNQQm2YR5du01Ky1qs&#10;3qgkS9ObpAVbGgtcOIe3j32QzmN9KQX3z1I64YkqKM7m42njuQlnMp+xfGuZqWp+HIN9YIqG1Rqb&#10;nks9Ms/Iztb/lGpqbsGB9AMOTQJS1lzEHXCbYfpum3XFjIi7IDjOnGFyn1eWP+3X5sUS332HDgkM&#10;gLTG5Q4vwz6dtE344qQE4wjh4Qyb6DzheDnK0unodkIJx1g2nWTTbBLqJJffjXX+h4CGBKOgFnmJ&#10;cLH9yvk+9ZQSumlY1kpFbpQmbUFvRpM0/nCOYHGlscdl2GD5btORurxaZAPlAfez0FPvDF/WOMOK&#10;Of/CLHKNK6F+/TMeUgH2gqNFSQX2z//uQz5SgFFKWtROQd3vHbOCEvVTIzl3w/E4iC0648k0Q8de&#10;RzbXEb1rHgDlOcSXYng0Q75XJ1NaaN5Q5ovQFUNMc+xdUH8yH3yvaHwmXCwWMQnlZZhf6bXhoXRA&#10;NSD82r0xa440eGTwCU4qY/k7Nvrcno/FzoOsI1UB5x7VI/wozUj28RkF7V/7Mevy2Od/AQAA//8D&#10;AFBLAwQUAAYACAAAACEAr0Mq5uAAAAAJAQAADwAAAGRycy9kb3ducmV2LnhtbEyPT0vDQBTE74Lf&#10;YXkFb3aTwGqM2ZQSKILoobUXby/Z1yR0/8Tsto1+eteTPQ4zzPymXM1GszNNfnBWQrpMgJFtnRps&#10;J2H/sbnPgfmAVqF2liR8k4dVdXtTYqHcxW7pvAsdiyXWFyihD2EsOPdtTwb90o1ko3dwk8EQ5dRx&#10;NeEllhvNsyR54AYHGxd6HKnuqT3uTkbCa715x22TmfxH1y9vh/X4tf8UUt4t5vUzsEBz+A/DH35E&#10;hyoyNe5klWdaQjwSJOTiUQCLtkhECqyJuewpTYBXJb9+UP0CAAD//wMAUEsBAi0AFAAGAAgAAAAh&#10;ALaDOJL+AAAA4QEAABMAAAAAAAAAAAAAAAAAAAAAAFtDb250ZW50X1R5cGVzXS54bWxQSwECLQAU&#10;AAYACAAAACEAOP0h/9YAAACUAQAACwAAAAAAAAAAAAAAAAAvAQAAX3JlbHMvLnJlbHNQSwECLQAU&#10;AAYACAAAACEA+zp3WhsCAAA0BAAADgAAAAAAAAAAAAAAAAAuAgAAZHJzL2Uyb0RvYy54bWxQSwEC&#10;LQAUAAYACAAAACEAr0Mq5uAAAAAJAQAADwAAAAAAAAAAAAAAAAB1BAAAZHJzL2Rvd25yZXYueG1s&#10;UEsFBgAAAAAEAAQA8wAAAIIFAAAAAA==&#10;" filled="f" stroked="f" strokeweight=".5pt">
                <v:textbox>
                  <w:txbxContent>
                    <w:p w14:paraId="360B3C3A" w14:textId="35FA23E4" w:rsidR="00FE271E" w:rsidRPr="00A536F8" w:rsidRDefault="00FE271E" w:rsidP="00FE271E">
                      <w:pPr>
                        <w:spacing w:line="240" w:lineRule="auto"/>
                      </w:pPr>
                      <w:r w:rsidRPr="00A536F8">
                        <w:rPr>
                          <w:rFonts w:cs="Open Sans"/>
                        </w:rPr>
                        <w:t xml:space="preserve">First published </w:t>
                      </w:r>
                      <w:r>
                        <w:rPr>
                          <w:rFonts w:cs="Open Sans"/>
                          <w:b/>
                          <w:bCs/>
                        </w:rPr>
                        <w:t>March 2025</w:t>
                      </w:r>
                    </w:p>
                    <w:p w14:paraId="68125569" w14:textId="77777777" w:rsidR="00FE271E" w:rsidRPr="00A536F8" w:rsidRDefault="00FE271E" w:rsidP="00FE271E">
                      <w:pPr>
                        <w:spacing w:line="240" w:lineRule="auto"/>
                        <w:rPr>
                          <w:rFonts w:cs="Open Sans"/>
                        </w:rPr>
                      </w:pPr>
                      <w:r w:rsidRPr="00A536F8">
                        <w:rPr>
                          <w:rFonts w:cs="Open Sans"/>
                        </w:rPr>
                        <w:t>Community Justice Scotland</w:t>
                      </w:r>
                    </w:p>
                    <w:p w14:paraId="22637CE8" w14:textId="77777777" w:rsidR="00FE271E" w:rsidRDefault="00FE271E" w:rsidP="00FE271E">
                      <w:pPr>
                        <w:spacing w:line="240" w:lineRule="auto"/>
                        <w:rPr>
                          <w:rFonts w:cs="Open Sans"/>
                        </w:rPr>
                      </w:pPr>
                      <w:proofErr w:type="spellStart"/>
                      <w:r w:rsidRPr="00A536F8">
                        <w:rPr>
                          <w:rFonts w:cs="Open Sans"/>
                        </w:rPr>
                        <w:t>R1</w:t>
                      </w:r>
                      <w:proofErr w:type="spellEnd"/>
                      <w:r w:rsidRPr="00A536F8">
                        <w:rPr>
                          <w:rFonts w:cs="Open Sans"/>
                        </w:rPr>
                        <w:t xml:space="preserve"> Spur, </w:t>
                      </w:r>
                      <w:proofErr w:type="spellStart"/>
                      <w:r w:rsidRPr="00A536F8">
                        <w:rPr>
                          <w:rFonts w:cs="Open Sans"/>
                        </w:rPr>
                        <w:t>S</w:t>
                      </w:r>
                      <w:r>
                        <w:rPr>
                          <w:rFonts w:cs="Open Sans"/>
                        </w:rPr>
                        <w:t>a</w:t>
                      </w:r>
                      <w:r w:rsidRPr="00A536F8">
                        <w:rPr>
                          <w:rFonts w:cs="Open Sans"/>
                        </w:rPr>
                        <w:t>ughton</w:t>
                      </w:r>
                      <w:proofErr w:type="spellEnd"/>
                      <w:r w:rsidRPr="00A536F8">
                        <w:rPr>
                          <w:rFonts w:cs="Open Sans"/>
                        </w:rPr>
                        <w:t xml:space="preserve"> House</w:t>
                      </w:r>
                      <w:r>
                        <w:rPr>
                          <w:rFonts w:cs="Open Sans"/>
                        </w:rPr>
                        <w:t>,</w:t>
                      </w:r>
                    </w:p>
                    <w:p w14:paraId="5DBB8900" w14:textId="77777777" w:rsidR="00FE271E" w:rsidRDefault="00FE271E" w:rsidP="00FE271E">
                      <w:pPr>
                        <w:spacing w:line="240" w:lineRule="auto"/>
                        <w:rPr>
                          <w:rFonts w:cs="Open Sans"/>
                        </w:rPr>
                      </w:pPr>
                      <w:proofErr w:type="spellStart"/>
                      <w:r>
                        <w:rPr>
                          <w:rFonts w:cs="Open Sans"/>
                        </w:rPr>
                        <w:t>Broomhouse</w:t>
                      </w:r>
                      <w:proofErr w:type="spellEnd"/>
                      <w:r>
                        <w:rPr>
                          <w:rFonts w:cs="Open Sans"/>
                        </w:rPr>
                        <w:t xml:space="preserve"> Drive,</w:t>
                      </w:r>
                    </w:p>
                    <w:p w14:paraId="7E83B218" w14:textId="77777777" w:rsidR="00FE271E" w:rsidRDefault="00FE271E" w:rsidP="00FE271E">
                      <w:pPr>
                        <w:spacing w:line="240" w:lineRule="auto"/>
                        <w:rPr>
                          <w:rFonts w:cs="Open Sans"/>
                        </w:rPr>
                      </w:pPr>
                      <w:r>
                        <w:rPr>
                          <w:rFonts w:cs="Open Sans"/>
                        </w:rPr>
                        <w:t>Edinburgh EH11 3XD</w:t>
                      </w:r>
                    </w:p>
                    <w:p w14:paraId="1D542E8B" w14:textId="77777777" w:rsidR="00FE271E" w:rsidRDefault="00FE271E" w:rsidP="00FE271E">
                      <w:pPr>
                        <w:spacing w:line="240" w:lineRule="auto"/>
                        <w:rPr>
                          <w:rFonts w:cs="Open Sans"/>
                        </w:rPr>
                      </w:pPr>
                      <w:r w:rsidRPr="00A536F8">
                        <w:rPr>
                          <w:rFonts w:cs="Open Sans"/>
                          <w:b/>
                          <w:bCs/>
                        </w:rPr>
                        <w:t>T</w:t>
                      </w:r>
                      <w:r>
                        <w:rPr>
                          <w:rFonts w:cs="Open Sans"/>
                        </w:rPr>
                        <w:t>: 0300 244 8420</w:t>
                      </w:r>
                    </w:p>
                    <w:p w14:paraId="418A4CA8" w14:textId="77777777" w:rsidR="00FE271E" w:rsidRDefault="00FE271E" w:rsidP="00FE271E">
                      <w:pPr>
                        <w:spacing w:line="240" w:lineRule="auto"/>
                        <w:rPr>
                          <w:rFonts w:cs="Open Sans"/>
                          <w:b/>
                          <w:bCs/>
                        </w:rPr>
                      </w:pPr>
                      <w:r w:rsidRPr="00A536F8">
                        <w:rPr>
                          <w:rFonts w:cs="Open Sans"/>
                          <w:b/>
                          <w:bCs/>
                        </w:rPr>
                        <w:t>www.communityjustice.scot</w:t>
                      </w:r>
                    </w:p>
                    <w:p w14:paraId="71ABB1C7" w14:textId="77777777" w:rsidR="00FE271E" w:rsidRPr="00A536F8" w:rsidRDefault="00FE271E" w:rsidP="00FE271E">
                      <w:pPr>
                        <w:rPr>
                          <w:rFonts w:cs="Open Sans"/>
                        </w:rPr>
                      </w:pPr>
                      <w:r w:rsidRPr="00A536F8">
                        <w:rPr>
                          <w:rFonts w:cs="Open Sans"/>
                        </w:rPr>
                        <w:t>To view our privacy policy, visit our</w:t>
                      </w:r>
                      <w:r>
                        <w:rPr>
                          <w:rFonts w:cs="Open Sans"/>
                        </w:rPr>
                        <w:t xml:space="preserve"> website at: </w:t>
                      </w:r>
                      <w:hyperlink r:id="rId66" w:history="1">
                        <w:r w:rsidRPr="003570EA">
                          <w:rPr>
                            <w:rStyle w:val="Hyperlink"/>
                            <w:rFonts w:cs="Open Sans"/>
                            <w:b/>
                            <w:bCs/>
                          </w:rPr>
                          <w:t>Community Justice Scotland</w:t>
                        </w:r>
                      </w:hyperlink>
                    </w:p>
                  </w:txbxContent>
                </v:textbox>
                <w10:wrap anchorx="margin"/>
                <w10:anchorlock/>
              </v:shape>
            </w:pict>
          </mc:Fallback>
        </mc:AlternateContent>
      </w:r>
      <w:r>
        <w:rPr>
          <w:noProof/>
        </w:rPr>
        <w:drawing>
          <wp:anchor distT="0" distB="0" distL="114300" distR="114300" simplePos="0" relativeHeight="251672576" behindDoc="0" locked="1" layoutInCell="1" allowOverlap="1" wp14:anchorId="483ABC98" wp14:editId="1061E32C">
            <wp:simplePos x="0" y="0"/>
            <wp:positionH relativeFrom="margin">
              <wp:align>right</wp:align>
            </wp:positionH>
            <wp:positionV relativeFrom="page">
              <wp:posOffset>8117840</wp:posOffset>
            </wp:positionV>
            <wp:extent cx="1896745" cy="1382395"/>
            <wp:effectExtent l="0" t="0" r="8255" b="8255"/>
            <wp:wrapSquare wrapText="bothSides"/>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67" cstate="email">
                      <a:extLst>
                        <a:ext uri="{28A0092B-C50C-407E-A947-70E740481C1C}">
                          <a14:useLocalDpi xmlns:a14="http://schemas.microsoft.com/office/drawing/2010/main"/>
                        </a:ext>
                      </a:extLst>
                    </a:blip>
                    <a:stretch>
                      <a:fillRect/>
                    </a:stretch>
                  </pic:blipFill>
                  <pic:spPr>
                    <a:xfrm>
                      <a:off x="0" y="0"/>
                      <a:ext cx="1896745" cy="1382395"/>
                    </a:xfrm>
                    <a:prstGeom prst="rect">
                      <a:avLst/>
                    </a:prstGeom>
                  </pic:spPr>
                </pic:pic>
              </a:graphicData>
            </a:graphic>
            <wp14:sizeRelH relativeFrom="page">
              <wp14:pctWidth>0</wp14:pctWidth>
            </wp14:sizeRelH>
            <wp14:sizeRelV relativeFrom="page">
              <wp14:pctHeight>0</wp14:pctHeight>
            </wp14:sizeRelV>
          </wp:anchor>
        </w:drawing>
      </w:r>
    </w:p>
    <w:p w14:paraId="75A780F5" w14:textId="4239D40A" w:rsidR="00FE271E" w:rsidRDefault="00FE271E">
      <w:pPr>
        <w:spacing w:line="240" w:lineRule="auto"/>
        <w:rPr>
          <w:color w:val="auto"/>
        </w:rPr>
      </w:pPr>
    </w:p>
    <w:p w14:paraId="6B2061FF" w14:textId="77777777" w:rsidR="00A87A35" w:rsidRPr="00623EE6" w:rsidRDefault="00A87A35" w:rsidP="0060743F">
      <w:pPr>
        <w:rPr>
          <w:color w:val="auto"/>
        </w:rPr>
      </w:pPr>
    </w:p>
    <w:sectPr w:rsidR="00A87A35" w:rsidRPr="00623EE6" w:rsidSect="00F22C87">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90749" w14:textId="77777777" w:rsidR="00526DB0" w:rsidRDefault="00526DB0" w:rsidP="00877BB5">
      <w:pPr>
        <w:spacing w:line="240" w:lineRule="auto"/>
      </w:pPr>
      <w:r>
        <w:separator/>
      </w:r>
    </w:p>
  </w:endnote>
  <w:endnote w:type="continuationSeparator" w:id="0">
    <w:p w14:paraId="4925C9BF" w14:textId="77777777" w:rsidR="00526DB0" w:rsidRDefault="00526DB0" w:rsidP="00877BB5">
      <w:pPr>
        <w:spacing w:line="240" w:lineRule="auto"/>
      </w:pPr>
      <w:r>
        <w:continuationSeparator/>
      </w:r>
    </w:p>
  </w:endnote>
  <w:endnote w:type="continuationNotice" w:id="1">
    <w:p w14:paraId="6BA52ED1" w14:textId="77777777" w:rsidR="00526DB0" w:rsidRDefault="00526D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180053"/>
      <w:docPartObj>
        <w:docPartGallery w:val="Page Numbers (Bottom of Page)"/>
        <w:docPartUnique/>
      </w:docPartObj>
    </w:sdtPr>
    <w:sdtContent>
      <w:p w14:paraId="36BDA95D" w14:textId="2ED37ACD" w:rsidR="00331149" w:rsidRDefault="00331149">
        <w:pPr>
          <w:pStyle w:val="Footer"/>
          <w:jc w:val="right"/>
        </w:pPr>
        <w:r>
          <w:fldChar w:fldCharType="begin"/>
        </w:r>
        <w:r>
          <w:instrText>PAGE   \* MERGEFORMAT</w:instrText>
        </w:r>
        <w:r>
          <w:fldChar w:fldCharType="separate"/>
        </w:r>
        <w:r>
          <w:t>2</w:t>
        </w:r>
        <w:r>
          <w:fldChar w:fldCharType="end"/>
        </w:r>
      </w:p>
    </w:sdtContent>
  </w:sdt>
  <w:p w14:paraId="18D1C1C1" w14:textId="7D88F00E" w:rsidR="00F304DF" w:rsidRPr="00B34544" w:rsidRDefault="00F304DF" w:rsidP="001F2F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5DB7" w14:textId="770E0BC3" w:rsidR="009D0A7E" w:rsidRDefault="009D0A7E">
    <w:pPr>
      <w:pStyle w:val="Footer"/>
      <w:jc w:val="right"/>
    </w:pPr>
  </w:p>
  <w:p w14:paraId="7DC652C4" w14:textId="77777777" w:rsidR="009D0A7E" w:rsidRDefault="009D0A7E" w:rsidP="0033114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2C4E7" w14:textId="77777777" w:rsidR="00526DB0" w:rsidRDefault="00526DB0" w:rsidP="00877BB5">
      <w:pPr>
        <w:spacing w:line="240" w:lineRule="auto"/>
      </w:pPr>
      <w:r>
        <w:separator/>
      </w:r>
    </w:p>
  </w:footnote>
  <w:footnote w:type="continuationSeparator" w:id="0">
    <w:p w14:paraId="3A9D932F" w14:textId="77777777" w:rsidR="00526DB0" w:rsidRDefault="00526DB0" w:rsidP="00877BB5">
      <w:pPr>
        <w:spacing w:line="240" w:lineRule="auto"/>
      </w:pPr>
      <w:r>
        <w:continuationSeparator/>
      </w:r>
    </w:p>
  </w:footnote>
  <w:footnote w:type="continuationNotice" w:id="1">
    <w:p w14:paraId="6F474D3E" w14:textId="77777777" w:rsidR="00526DB0" w:rsidRDefault="00526DB0">
      <w:pPr>
        <w:spacing w:before="0" w:after="0" w:line="240" w:lineRule="auto"/>
      </w:pPr>
    </w:p>
  </w:footnote>
  <w:footnote w:id="2">
    <w:p w14:paraId="66DC9B91" w14:textId="58E929F9" w:rsidR="003D5B96" w:rsidRDefault="003D5B96" w:rsidP="003D5B96">
      <w:pPr>
        <w:pStyle w:val="FootnoteText"/>
      </w:pPr>
      <w:r>
        <w:rPr>
          <w:rStyle w:val="FootnoteReference"/>
        </w:rPr>
        <w:footnoteRef/>
      </w:r>
      <w:r>
        <w:t xml:space="preserve"> Section 13 of the </w:t>
      </w:r>
      <w:hyperlink r:id="rId1" w:history="1">
        <w:r>
          <w:rPr>
            <w:rStyle w:val="Hyperlink"/>
          </w:rPr>
          <w:t>Community Justice (Scotland) Act 2016</w:t>
        </w:r>
      </w:hyperlink>
      <w:r w:rsidR="00026409">
        <w:t>.</w:t>
      </w:r>
    </w:p>
  </w:footnote>
  <w:footnote w:id="3">
    <w:p w14:paraId="529B1F69" w14:textId="0A2DA1AE" w:rsidR="00D4236E" w:rsidRDefault="00D4236E">
      <w:pPr>
        <w:pStyle w:val="FootnoteText"/>
      </w:pPr>
      <w:r>
        <w:rPr>
          <w:rStyle w:val="FootnoteReference"/>
        </w:rPr>
        <w:footnoteRef/>
      </w:r>
      <w:r>
        <w:t xml:space="preserve"> </w:t>
      </w:r>
      <w:hyperlink r:id="rId2" w:history="1">
        <w:r w:rsidR="00A8114C">
          <w:rPr>
            <w:rStyle w:val="Hyperlink"/>
          </w:rPr>
          <w:t>Scottish Sentencing Council: Community Sentencing Stakeholder Event Report</w:t>
        </w:r>
      </w:hyperlink>
    </w:p>
  </w:footnote>
  <w:footnote w:id="4">
    <w:p w14:paraId="2197B115" w14:textId="3B836DC8" w:rsidR="001E0DB3" w:rsidRDefault="001E0DB3">
      <w:pPr>
        <w:pStyle w:val="FootnoteText"/>
      </w:pPr>
      <w:r>
        <w:rPr>
          <w:rStyle w:val="FootnoteReference"/>
        </w:rPr>
        <w:footnoteRef/>
      </w:r>
      <w:r>
        <w:t xml:space="preserve"> </w:t>
      </w:r>
      <w:r w:rsidR="003D34FA">
        <w:t xml:space="preserve">Scottish Prison Service prison population figures: </w:t>
      </w:r>
      <w:hyperlink r:id="rId3" w:history="1">
        <w:r w:rsidR="003D34FA" w:rsidRPr="00150E94">
          <w:rPr>
            <w:rStyle w:val="Hyperlink"/>
          </w:rPr>
          <w:t>https://www.sps.gov.uk/about-us/transparency/data-research-and-evidence</w:t>
        </w:r>
      </w:hyperlink>
    </w:p>
  </w:footnote>
  <w:footnote w:id="5">
    <w:p w14:paraId="4A678948" w14:textId="2823976A" w:rsidR="00687BB4" w:rsidRDefault="00687BB4">
      <w:pPr>
        <w:pStyle w:val="FootnoteText"/>
      </w:pPr>
      <w:r>
        <w:rPr>
          <w:rStyle w:val="FootnoteReference"/>
        </w:rPr>
        <w:footnoteRef/>
      </w:r>
      <w:r>
        <w:t xml:space="preserve"> </w:t>
      </w:r>
      <w:hyperlink r:id="rId4" w:history="1">
        <w:r>
          <w:rPr>
            <w:rStyle w:val="Hyperlink"/>
          </w:rPr>
          <w:t>Recorded Crime in Scotland, 2023-24</w:t>
        </w:r>
      </w:hyperlink>
      <w:r>
        <w:t>.</w:t>
      </w:r>
    </w:p>
  </w:footnote>
  <w:footnote w:id="6">
    <w:p w14:paraId="28697DB6" w14:textId="14518984" w:rsidR="008F7C9E" w:rsidRDefault="008F7C9E">
      <w:pPr>
        <w:pStyle w:val="FootnoteText"/>
      </w:pPr>
      <w:r>
        <w:rPr>
          <w:rStyle w:val="FootnoteReference"/>
        </w:rPr>
        <w:footnoteRef/>
      </w:r>
      <w:r>
        <w:t xml:space="preserve"> </w:t>
      </w:r>
      <w:r w:rsidR="008A283E" w:rsidRPr="00E74555">
        <w:t>Prisoners (Control of Release) (Scotland) Act 2015</w:t>
      </w:r>
    </w:p>
  </w:footnote>
  <w:footnote w:id="7">
    <w:p w14:paraId="19A3A711" w14:textId="77777777" w:rsidR="00DD4483" w:rsidRDefault="00DD4483" w:rsidP="00DD4483">
      <w:pPr>
        <w:pStyle w:val="FootnoteText"/>
      </w:pPr>
      <w:r>
        <w:rPr>
          <w:rStyle w:val="FootnoteReference"/>
        </w:rPr>
        <w:footnoteRef/>
      </w:r>
      <w:r>
        <w:t xml:space="preserve"> </w:t>
      </w:r>
      <w:r w:rsidRPr="00E277AE">
        <w:t>HM Inspectorate of Prisons for Scotland (HMIPS)</w:t>
      </w:r>
      <w:r>
        <w:t>, “</w:t>
      </w:r>
      <w:hyperlink r:id="rId5" w:history="1">
        <w:r>
          <w:rPr>
            <w:rStyle w:val="Hyperlink"/>
          </w:rPr>
          <w:t>A Thematic Review of Prisoner Progression in Scottish Prisons</w:t>
        </w:r>
      </w:hyperlink>
      <w:r>
        <w:t>”, June 2024</w:t>
      </w:r>
    </w:p>
  </w:footnote>
  <w:footnote w:id="8">
    <w:p w14:paraId="14F0CC95" w14:textId="4863E2AC" w:rsidR="000917F9" w:rsidRDefault="000917F9">
      <w:pPr>
        <w:pStyle w:val="FootnoteText"/>
      </w:pPr>
      <w:r>
        <w:rPr>
          <w:rStyle w:val="FootnoteReference"/>
        </w:rPr>
        <w:footnoteRef/>
      </w:r>
      <w:r>
        <w:t xml:space="preserve"> </w:t>
      </w:r>
      <w:hyperlink r:id="rId6" w:history="1">
        <w:r>
          <w:rPr>
            <w:rStyle w:val="Hyperlink"/>
          </w:rPr>
          <w:t>Recorded Crime in Scotland, 2023-24</w:t>
        </w:r>
      </w:hyperlink>
      <w:r>
        <w:t>.</w:t>
      </w:r>
    </w:p>
  </w:footnote>
  <w:footnote w:id="9">
    <w:p w14:paraId="52C2A13A" w14:textId="32F0A891" w:rsidR="00965015" w:rsidRDefault="00965015">
      <w:pPr>
        <w:pStyle w:val="FootnoteText"/>
      </w:pPr>
      <w:r>
        <w:rPr>
          <w:rStyle w:val="FootnoteReference"/>
        </w:rPr>
        <w:footnoteRef/>
      </w:r>
      <w:r>
        <w:t xml:space="preserve"> </w:t>
      </w:r>
      <w:r w:rsidRPr="00965015">
        <w:t xml:space="preserve">For more information about the indicator see </w:t>
      </w:r>
      <w:hyperlink r:id="rId7" w:history="1">
        <w:r w:rsidRPr="00965015">
          <w:rPr>
            <w:rStyle w:val="Hyperlink"/>
          </w:rPr>
          <w:t>Community Justice Performance Framework: guidance and technical notes, version 2</w:t>
        </w:r>
      </w:hyperlink>
      <w:r w:rsidRPr="00965015">
        <w:t>.</w:t>
      </w:r>
    </w:p>
  </w:footnote>
  <w:footnote w:id="10">
    <w:p w14:paraId="2D429508" w14:textId="1568A54D" w:rsidR="002A423B" w:rsidRDefault="002A423B">
      <w:pPr>
        <w:pStyle w:val="FootnoteText"/>
      </w:pPr>
      <w:r>
        <w:rPr>
          <w:rStyle w:val="FootnoteReference"/>
        </w:rPr>
        <w:footnoteRef/>
      </w:r>
      <w:r>
        <w:t xml:space="preserve"> </w:t>
      </w:r>
      <w:hyperlink r:id="rId8" w:history="1">
        <w:r w:rsidRPr="002A423B">
          <w:rPr>
            <w:rStyle w:val="Hyperlink"/>
          </w:rPr>
          <w:t>Justice Social Work Statistics in Justice Social Work Scotland: 2023-24 – Statistics in Part 2</w:t>
        </w:r>
      </w:hyperlink>
    </w:p>
  </w:footnote>
  <w:footnote w:id="11">
    <w:p w14:paraId="53061261" w14:textId="71610F32" w:rsidR="00A708AB" w:rsidRDefault="00A708AB">
      <w:pPr>
        <w:pStyle w:val="FootnoteText"/>
      </w:pPr>
      <w:r>
        <w:rPr>
          <w:rStyle w:val="FootnoteReference"/>
        </w:rPr>
        <w:footnoteRef/>
      </w:r>
      <w:r>
        <w:t xml:space="preserve"> Retrieved from </w:t>
      </w:r>
      <w:hyperlink r:id="rId9" w:history="1">
        <w:r w:rsidRPr="00971C4C">
          <w:rPr>
            <w:rStyle w:val="Hyperlink"/>
          </w:rPr>
          <w:t>Scottish Prison Population Statistics</w:t>
        </w:r>
      </w:hyperlink>
      <w:r>
        <w:t>.</w:t>
      </w:r>
    </w:p>
  </w:footnote>
  <w:footnote w:id="12">
    <w:p w14:paraId="3E6E130B" w14:textId="0FF1D3CD" w:rsidR="002324E4" w:rsidRDefault="002324E4">
      <w:pPr>
        <w:pStyle w:val="FootnoteText"/>
      </w:pPr>
      <w:r>
        <w:rPr>
          <w:rStyle w:val="FootnoteReference"/>
        </w:rPr>
        <w:footnoteRef/>
      </w:r>
      <w:r>
        <w:t xml:space="preserve"> </w:t>
      </w:r>
      <w:r w:rsidR="002017B7">
        <w:t xml:space="preserve">Retrieved from </w:t>
      </w:r>
      <w:hyperlink r:id="rId10" w:history="1">
        <w:r w:rsidR="002017B7" w:rsidRPr="00971C4C">
          <w:rPr>
            <w:rStyle w:val="Hyperlink"/>
          </w:rPr>
          <w:t>Scottish Prison Population Statistics</w:t>
        </w:r>
      </w:hyperlink>
      <w:r w:rsidR="002017B7">
        <w:t xml:space="preserve"> 28/1/25 (</w:t>
      </w:r>
      <w:r w:rsidR="002017B7" w:rsidRPr="004D7034">
        <w:rPr>
          <w:i/>
          <w:iCs/>
        </w:rPr>
        <w:t>ARRIVALS: ALL in year (Individuals (Count)) by Legal Status (2-fold) within Financial Year (All)</w:t>
      </w:r>
      <w:r w:rsidR="002017B7">
        <w:rPr>
          <w:i/>
          <w:iCs/>
        </w:rPr>
        <w:t>)</w:t>
      </w:r>
    </w:p>
  </w:footnote>
  <w:footnote w:id="13">
    <w:p w14:paraId="3A6AC989" w14:textId="1DD4836C" w:rsidR="00713601" w:rsidRDefault="00713601">
      <w:pPr>
        <w:pStyle w:val="FootnoteText"/>
      </w:pPr>
      <w:r>
        <w:rPr>
          <w:rStyle w:val="FootnoteReference"/>
        </w:rPr>
        <w:footnoteRef/>
      </w:r>
      <w:r>
        <w:t xml:space="preserve"> </w:t>
      </w:r>
      <w:hyperlink r:id="rId11" w:history="1">
        <w:r w:rsidRPr="00713601">
          <w:rPr>
            <w:rStyle w:val="Hyperlink"/>
          </w:rPr>
          <w:t>What Works to Reduce Reoffending: A Summary of the Evidence</w:t>
        </w:r>
      </w:hyperlink>
    </w:p>
  </w:footnote>
  <w:footnote w:id="14">
    <w:p w14:paraId="4F8955C2" w14:textId="69401A0B" w:rsidR="00EF0FF0" w:rsidRDefault="00EF0FF0">
      <w:pPr>
        <w:pStyle w:val="FootnoteText"/>
      </w:pPr>
      <w:r>
        <w:rPr>
          <w:rStyle w:val="FootnoteReference"/>
        </w:rPr>
        <w:footnoteRef/>
      </w:r>
      <w:r>
        <w:t xml:space="preserve"> </w:t>
      </w:r>
      <w:hyperlink r:id="rId12" w:history="1">
        <w:r>
          <w:rPr>
            <w:rStyle w:val="Hyperlink"/>
          </w:rPr>
          <w:t>Justice Social Work Statistics in Justice Social Work Scotland: 2023-24</w:t>
        </w:r>
      </w:hyperlink>
      <w:r>
        <w:t>.</w:t>
      </w:r>
    </w:p>
  </w:footnote>
  <w:footnote w:id="15">
    <w:p w14:paraId="2D6D0344" w14:textId="79DA16E9" w:rsidR="003C43A2" w:rsidRDefault="003C43A2">
      <w:pPr>
        <w:pStyle w:val="FootnoteText"/>
      </w:pPr>
      <w:r>
        <w:rPr>
          <w:rStyle w:val="FootnoteReference"/>
        </w:rPr>
        <w:footnoteRef/>
      </w:r>
      <w:r>
        <w:t xml:space="preserve"> </w:t>
      </w:r>
      <w:hyperlink r:id="rId13" w:history="1">
        <w:r w:rsidR="00290C09">
          <w:rPr>
            <w:rStyle w:val="Hyperlink"/>
          </w:rPr>
          <w:t>Justice Social Work Statistics in Justice Social Work Scotland: 2023-24.</w:t>
        </w:r>
      </w:hyperlink>
    </w:p>
  </w:footnote>
  <w:footnote w:id="16">
    <w:p w14:paraId="5A1B8EDA" w14:textId="64622198" w:rsidR="007141F1" w:rsidRDefault="007141F1">
      <w:pPr>
        <w:pStyle w:val="FootnoteText"/>
      </w:pPr>
      <w:r>
        <w:rPr>
          <w:rStyle w:val="FootnoteReference"/>
        </w:rPr>
        <w:footnoteRef/>
      </w:r>
      <w:r>
        <w:t xml:space="preserve"> </w:t>
      </w:r>
      <w:hyperlink r:id="rId14" w:history="1">
        <w:r>
          <w:rPr>
            <w:rStyle w:val="Hyperlink"/>
          </w:rPr>
          <w:t>Community Justice Scotland Outcome Activity Annual Report 2022-23</w:t>
        </w:r>
      </w:hyperlink>
      <w:r>
        <w:t>.</w:t>
      </w:r>
    </w:p>
  </w:footnote>
  <w:footnote w:id="17">
    <w:p w14:paraId="551AA38E" w14:textId="4EE6B4BC" w:rsidR="00C14182" w:rsidRDefault="00C14182">
      <w:pPr>
        <w:pStyle w:val="FootnoteText"/>
      </w:pPr>
      <w:r>
        <w:rPr>
          <w:rStyle w:val="FootnoteReference"/>
        </w:rPr>
        <w:footnoteRef/>
      </w:r>
      <w:r>
        <w:t xml:space="preserve"> </w:t>
      </w:r>
      <w:hyperlink r:id="rId15" w:history="1">
        <w:r>
          <w:rPr>
            <w:rStyle w:val="Hyperlink"/>
          </w:rPr>
          <w:t>Christie Commission on the future delivery of public services</w:t>
        </w:r>
      </w:hyperlink>
      <w:r>
        <w:t>.</w:t>
      </w:r>
    </w:p>
  </w:footnote>
  <w:footnote w:id="18">
    <w:p w14:paraId="3B8500B4" w14:textId="77777777" w:rsidR="00950CE5" w:rsidRDefault="00950CE5" w:rsidP="00950CE5">
      <w:pPr>
        <w:pStyle w:val="FootnoteText"/>
      </w:pPr>
      <w:r>
        <w:rPr>
          <w:rStyle w:val="FootnoteReference"/>
        </w:rPr>
        <w:footnoteRef/>
      </w:r>
      <w:r>
        <w:t xml:space="preserve"> </w:t>
      </w:r>
      <w:hyperlink r:id="rId16" w:history="1">
        <w:r>
          <w:rPr>
            <w:rStyle w:val="Hyperlink"/>
          </w:rPr>
          <w:t>Justice social work statistics: local authority time series tables</w:t>
        </w:r>
      </w:hyperlink>
      <w:r>
        <w:t>.</w:t>
      </w:r>
    </w:p>
  </w:footnote>
  <w:footnote w:id="19">
    <w:p w14:paraId="7878C524" w14:textId="77777777" w:rsidR="00950CE5" w:rsidRDefault="00950CE5" w:rsidP="00950CE5">
      <w:pPr>
        <w:pStyle w:val="FootnoteText"/>
      </w:pPr>
      <w:r>
        <w:rPr>
          <w:rStyle w:val="FootnoteReference"/>
        </w:rPr>
        <w:footnoteRef/>
      </w:r>
      <w:r>
        <w:t xml:space="preserve"> </w:t>
      </w:r>
      <w:hyperlink r:id="rId17" w:history="1">
        <w:r>
          <w:rPr>
            <w:rStyle w:val="Hyperlink"/>
          </w:rPr>
          <w:t>Justice Social Work Statistics in Scotland: 2023-24, part 1</w:t>
        </w:r>
      </w:hyperlink>
      <w:r>
        <w:t>.</w:t>
      </w:r>
    </w:p>
  </w:footnote>
  <w:footnote w:id="20">
    <w:p w14:paraId="3E88A9AD" w14:textId="77777777" w:rsidR="00130AD9" w:rsidRDefault="00130AD9" w:rsidP="00130AD9">
      <w:pPr>
        <w:pStyle w:val="FootnoteText"/>
      </w:pPr>
      <w:r>
        <w:rPr>
          <w:rStyle w:val="FootnoteReference"/>
        </w:rPr>
        <w:footnoteRef/>
      </w:r>
      <w:r>
        <w:t xml:space="preserve"> </w:t>
      </w:r>
      <w:hyperlink r:id="rId18" w:history="1">
        <w:r>
          <w:rPr>
            <w:rStyle w:val="Hyperlink"/>
          </w:rPr>
          <w:t>Scottish Government Justice Analytical Services criminal disposals dashboard</w:t>
        </w:r>
      </w:hyperlink>
      <w:r>
        <w:t>.</w:t>
      </w:r>
    </w:p>
  </w:footnote>
  <w:footnote w:id="21">
    <w:p w14:paraId="4D935D8B" w14:textId="77777777" w:rsidR="00130AD9" w:rsidRPr="00433EFB" w:rsidRDefault="00130AD9" w:rsidP="00130AD9">
      <w:pPr>
        <w:pStyle w:val="FootnoteText"/>
      </w:pPr>
      <w:r>
        <w:rPr>
          <w:rStyle w:val="FootnoteReference"/>
        </w:rPr>
        <w:footnoteRef/>
      </w:r>
      <w:r>
        <w:t xml:space="preserve"> Police Scotland: </w:t>
      </w:r>
      <w:hyperlink r:id="rId19" w:history="1">
        <w:r w:rsidRPr="0089544B">
          <w:rPr>
            <w:rStyle w:val="Hyperlink"/>
            <w:rFonts w:ascii="Arial" w:hAnsi="Arial" w:cs="Arial"/>
            <w:szCs w:val="24"/>
            <w:lang w:eastAsia="en-GB"/>
          </w:rPr>
          <w:t>performance-report-quarter-4-2023</w:t>
        </w:r>
      </w:hyperlink>
      <w:r w:rsidRPr="00336EE0">
        <w:rPr>
          <w:rFonts w:ascii="Arial" w:hAnsi="Arial" w:cs="Arial"/>
          <w:color w:val="000000"/>
          <w:szCs w:val="24"/>
          <w:lang w:eastAsia="en-GB"/>
        </w:rPr>
        <w:t xml:space="preserve">. </w:t>
      </w:r>
    </w:p>
  </w:footnote>
  <w:footnote w:id="22">
    <w:p w14:paraId="29786CFF" w14:textId="77777777" w:rsidR="00130AD9" w:rsidRDefault="00130AD9" w:rsidP="00130AD9">
      <w:pPr>
        <w:pStyle w:val="FootnoteText"/>
      </w:pPr>
      <w:r>
        <w:rPr>
          <w:rStyle w:val="FootnoteReference"/>
        </w:rPr>
        <w:footnoteRef/>
      </w:r>
      <w:r>
        <w:t xml:space="preserve"> COPFS: </w:t>
      </w:r>
      <w:hyperlink r:id="rId20" w:history="1">
        <w:r>
          <w:rPr>
            <w:rStyle w:val="Hyperlink"/>
          </w:rPr>
          <w:t>Annual report and financial statements for the year ended 31 March 2024</w:t>
        </w:r>
      </w:hyperlink>
      <w:r>
        <w:t>.</w:t>
      </w:r>
    </w:p>
  </w:footnote>
  <w:footnote w:id="23">
    <w:p w14:paraId="0BFA41C4" w14:textId="77777777" w:rsidR="00130AD9" w:rsidRDefault="00130AD9" w:rsidP="00130AD9">
      <w:pPr>
        <w:pStyle w:val="FootnoteText"/>
      </w:pPr>
      <w:r>
        <w:rPr>
          <w:rStyle w:val="FootnoteReference"/>
        </w:rPr>
        <w:footnoteRef/>
      </w:r>
      <w:r>
        <w:t xml:space="preserve"> </w:t>
      </w:r>
      <w:hyperlink r:id="rId21" w:history="1">
        <w:r>
          <w:rPr>
            <w:rStyle w:val="Hyperlink"/>
          </w:rPr>
          <w:t>Justice Social Work Statistics in Scotland: 2023-24, part 1</w:t>
        </w:r>
      </w:hyperlink>
      <w:r>
        <w:t>.</w:t>
      </w:r>
    </w:p>
  </w:footnote>
  <w:footnote w:id="24">
    <w:p w14:paraId="1AB9A87D" w14:textId="77777777" w:rsidR="00130AD9" w:rsidRDefault="00130AD9" w:rsidP="00130AD9">
      <w:pPr>
        <w:pStyle w:val="FootnoteText"/>
      </w:pPr>
      <w:r>
        <w:rPr>
          <w:rStyle w:val="FootnoteReference"/>
        </w:rPr>
        <w:footnoteRef/>
      </w:r>
      <w:r>
        <w:t xml:space="preserve"> Care Inspectorate: </w:t>
      </w:r>
      <w:hyperlink r:id="rId22" w:history="1">
        <w:r>
          <w:rPr>
            <w:rStyle w:val="Hyperlink"/>
          </w:rPr>
          <w:t>Joint review of diversion from prosecution</w:t>
        </w:r>
      </w:hyperlink>
      <w:r>
        <w:t>.</w:t>
      </w:r>
    </w:p>
  </w:footnote>
  <w:footnote w:id="25">
    <w:p w14:paraId="7202B0A5" w14:textId="77777777" w:rsidR="00C41D69" w:rsidRPr="00336EE0" w:rsidRDefault="00C41D69" w:rsidP="00C41D69">
      <w:pPr>
        <w:pStyle w:val="FootnoteText"/>
        <w:rPr>
          <w:rStyle w:val="FootnoteTextChar"/>
        </w:rPr>
      </w:pPr>
      <w:r w:rsidRPr="0065142B">
        <w:rPr>
          <w:rStyle w:val="FootnoteReference"/>
        </w:rPr>
        <w:footnoteRef/>
      </w:r>
      <w:r w:rsidRPr="0065142B">
        <w:t xml:space="preserve"> </w:t>
      </w:r>
      <w:r>
        <w:t xml:space="preserve">Police Scotland: </w:t>
      </w:r>
      <w:hyperlink r:id="rId23" w:history="1">
        <w:r w:rsidRPr="00090F20">
          <w:rPr>
            <w:rStyle w:val="Hyperlink"/>
            <w:rFonts w:ascii="Arial" w:hAnsi="Arial" w:cs="Arial"/>
            <w:szCs w:val="24"/>
            <w:lang w:eastAsia="en-GB"/>
          </w:rPr>
          <w:t>performance-report-quarter-4-2023</w:t>
        </w:r>
      </w:hyperlink>
      <w:r>
        <w:t>.</w:t>
      </w:r>
      <w:r w:rsidRPr="000B1820" w:rsidDel="000B1820">
        <w:rPr>
          <w:rStyle w:val="FootnoteTextChar"/>
        </w:rPr>
        <w:t xml:space="preserve"> </w:t>
      </w:r>
    </w:p>
    <w:p w14:paraId="6C3F9A42" w14:textId="77777777" w:rsidR="00C41D69" w:rsidRDefault="00C41D69" w:rsidP="00C41D69">
      <w:pPr>
        <w:pStyle w:val="FootnoteText"/>
      </w:pPr>
    </w:p>
  </w:footnote>
  <w:footnote w:id="26">
    <w:p w14:paraId="5F0DBA9B" w14:textId="77777777" w:rsidR="00C41D69" w:rsidRDefault="00C41D69" w:rsidP="00C41D69">
      <w:pPr>
        <w:pStyle w:val="FootnoteText"/>
      </w:pPr>
      <w:r>
        <w:rPr>
          <w:rStyle w:val="FootnoteReference"/>
        </w:rPr>
        <w:footnoteRef/>
      </w:r>
      <w:r>
        <w:t xml:space="preserve"> Police Scotland: </w:t>
      </w:r>
      <w:hyperlink r:id="rId24" w:history="1">
        <w:r w:rsidRPr="00090F20">
          <w:rPr>
            <w:rStyle w:val="Hyperlink"/>
            <w:rFonts w:ascii="Arial" w:hAnsi="Arial" w:cs="Arial"/>
            <w:szCs w:val="24"/>
            <w:lang w:eastAsia="en-GB"/>
          </w:rPr>
          <w:t>performance-report-quarter-4-2023</w:t>
        </w:r>
      </w:hyperlink>
      <w:r>
        <w:t>.</w:t>
      </w:r>
      <w:r w:rsidRPr="000B1820" w:rsidDel="000B1820">
        <w:rPr>
          <w:rStyle w:val="FootnoteTextChar"/>
        </w:rPr>
        <w:t xml:space="preserve"> </w:t>
      </w:r>
    </w:p>
  </w:footnote>
  <w:footnote w:id="27">
    <w:p w14:paraId="2CBCA40D" w14:textId="77777777" w:rsidR="00C41D69" w:rsidRDefault="00C41D69" w:rsidP="00C41D69">
      <w:pPr>
        <w:pStyle w:val="FootnoteText"/>
      </w:pPr>
      <w:r>
        <w:rPr>
          <w:rStyle w:val="FootnoteReference"/>
        </w:rPr>
        <w:footnoteRef/>
      </w:r>
      <w:r>
        <w:t xml:space="preserve"> Health Improvement Scotland: </w:t>
      </w:r>
      <w:hyperlink r:id="rId25" w:history="1">
        <w:r>
          <w:rPr>
            <w:rStyle w:val="Hyperlink"/>
          </w:rPr>
          <w:t>National baseline review of healthcare provision within police custody centres in Scotland</w:t>
        </w:r>
      </w:hyperlink>
      <w:r>
        <w:t>.</w:t>
      </w:r>
    </w:p>
  </w:footnote>
  <w:footnote w:id="28">
    <w:p w14:paraId="22A112A7" w14:textId="77777777" w:rsidR="00021B67" w:rsidRDefault="00021B67" w:rsidP="00021B67">
      <w:r>
        <w:rPr>
          <w:rStyle w:val="FootnoteReference"/>
        </w:rPr>
        <w:footnoteRef/>
      </w:r>
      <w:r>
        <w:t xml:space="preserve"> </w:t>
      </w:r>
      <w:hyperlink r:id="rId26" w:history="1">
        <w:r w:rsidRPr="00336EE0">
          <w:rPr>
            <w:rStyle w:val="Hyperlink"/>
            <w:sz w:val="20"/>
            <w:szCs w:val="20"/>
          </w:rPr>
          <w:t>Justice Social Work Statistics in Scotland: 2023-24</w:t>
        </w:r>
        <w:r w:rsidRPr="008D0685">
          <w:rPr>
            <w:rStyle w:val="Hyperlink"/>
            <w:sz w:val="20"/>
            <w:szCs w:val="20"/>
          </w:rPr>
          <w:t xml:space="preserve">, </w:t>
        </w:r>
        <w:r w:rsidRPr="00336EE0">
          <w:rPr>
            <w:rStyle w:val="Hyperlink"/>
            <w:sz w:val="20"/>
            <w:szCs w:val="20"/>
          </w:rPr>
          <w:t>Part 1</w:t>
        </w:r>
      </w:hyperlink>
      <w:r w:rsidRPr="00336EE0">
        <w:rPr>
          <w:rStyle w:val="FootnoteTextChar"/>
          <w:rFonts w:eastAsiaTheme="minorHAnsi"/>
        </w:rPr>
        <w:t>: Chapter 6, Bail Supervision</w:t>
      </w:r>
      <w:r>
        <w:rPr>
          <w:rStyle w:val="FootnoteTextChar"/>
          <w:rFonts w:eastAsiaTheme="minorHAnsi"/>
        </w:rPr>
        <w:t>.</w:t>
      </w:r>
      <w:r w:rsidRPr="00336EE0">
        <w:rPr>
          <w:rStyle w:val="FootnoteTextChar"/>
          <w:rFonts w:eastAsiaTheme="minorHAnsi"/>
        </w:rPr>
        <w:t xml:space="preserve"> </w:t>
      </w:r>
    </w:p>
  </w:footnote>
  <w:footnote w:id="29">
    <w:p w14:paraId="18554A11" w14:textId="77777777" w:rsidR="00021B67" w:rsidRDefault="00021B67" w:rsidP="00021B67">
      <w:pPr>
        <w:pStyle w:val="FootnoteText"/>
      </w:pPr>
      <w:r>
        <w:rPr>
          <w:rStyle w:val="FootnoteReference"/>
        </w:rPr>
        <w:footnoteRef/>
      </w:r>
      <w:r>
        <w:t xml:space="preserve"> </w:t>
      </w:r>
      <w:hyperlink r:id="rId27" w:history="1">
        <w:r>
          <w:rPr>
            <w:rStyle w:val="Hyperlink"/>
          </w:rPr>
          <w:t>Bail supervision: national guidance</w:t>
        </w:r>
      </w:hyperlink>
      <w:r>
        <w:t>.</w:t>
      </w:r>
    </w:p>
  </w:footnote>
  <w:footnote w:id="30">
    <w:p w14:paraId="1B0726E6" w14:textId="77777777" w:rsidR="00021B67" w:rsidRDefault="00021B67" w:rsidP="00021B67">
      <w:pPr>
        <w:pStyle w:val="FootnoteText"/>
      </w:pPr>
      <w:r>
        <w:rPr>
          <w:rStyle w:val="FootnoteReference"/>
        </w:rPr>
        <w:footnoteRef/>
      </w:r>
      <w:r>
        <w:t xml:space="preserve"> </w:t>
      </w:r>
      <w:hyperlink r:id="rId28" w:history="1">
        <w:r>
          <w:rPr>
            <w:rStyle w:val="Hyperlink"/>
          </w:rPr>
          <w:t>Bail and Release from Custody (Scotland) Act 2023</w:t>
        </w:r>
      </w:hyperlink>
      <w:r>
        <w:t>.</w:t>
      </w:r>
    </w:p>
  </w:footnote>
  <w:footnote w:id="31">
    <w:p w14:paraId="7C6C0C49" w14:textId="77777777" w:rsidR="00021B67" w:rsidRDefault="00021B67" w:rsidP="00021B67">
      <w:pPr>
        <w:pStyle w:val="FootnoteText"/>
      </w:pPr>
      <w:r>
        <w:rPr>
          <w:rStyle w:val="FootnoteReference"/>
        </w:rPr>
        <w:footnoteRef/>
      </w:r>
      <w:r>
        <w:t xml:space="preserve"> </w:t>
      </w:r>
      <w:hyperlink r:id="rId29" w:history="1">
        <w:r>
          <w:rPr>
            <w:rStyle w:val="Hyperlink"/>
          </w:rPr>
          <w:t>Alternatives to remand: Decision-making on bail and remand in Scotland: final report, December 2023</w:t>
        </w:r>
      </w:hyperlink>
      <w:r>
        <w:t>.</w:t>
      </w:r>
    </w:p>
  </w:footnote>
  <w:footnote w:id="32">
    <w:p w14:paraId="7C91E6F8" w14:textId="190672DF" w:rsidR="00926EF1" w:rsidRDefault="00926EF1">
      <w:pPr>
        <w:pStyle w:val="FootnoteText"/>
      </w:pPr>
      <w:r>
        <w:rPr>
          <w:rStyle w:val="FootnoteReference"/>
        </w:rPr>
        <w:footnoteRef/>
      </w:r>
      <w:r>
        <w:t xml:space="preserve"> </w:t>
      </w:r>
      <w:r w:rsidRPr="00623EE6">
        <w:t>Figures indicate an increase in usage last year (57) compared to the first year EM bail was introduced (27).</w:t>
      </w:r>
    </w:p>
  </w:footnote>
  <w:footnote w:id="33">
    <w:p w14:paraId="0A9E310E" w14:textId="379D6BFB" w:rsidR="00C168C4" w:rsidRDefault="00C168C4" w:rsidP="00C168C4">
      <w:pPr>
        <w:pStyle w:val="FootnoteText"/>
      </w:pPr>
      <w:r>
        <w:rPr>
          <w:rStyle w:val="FootnoteReference"/>
        </w:rPr>
        <w:footnoteRef/>
      </w:r>
      <w:r>
        <w:t xml:space="preserve"> G4S</w:t>
      </w:r>
      <w:r w:rsidR="00762E13">
        <w:t>:</w:t>
      </w:r>
      <w:r>
        <w:t xml:space="preserve"> </w:t>
      </w:r>
      <w:hyperlink r:id="rId30" w:history="1">
        <w:r w:rsidR="000D149F">
          <w:rPr>
            <w:rStyle w:val="Hyperlink"/>
          </w:rPr>
          <w:t>Statistical Bulletin 2024: Electronic monitoring to the criminal and youth justice systems in Scotland</w:t>
        </w:r>
      </w:hyperlink>
      <w:r w:rsidR="000D149F">
        <w:t>.</w:t>
      </w:r>
    </w:p>
  </w:footnote>
  <w:footnote w:id="34">
    <w:p w14:paraId="71CC89AD" w14:textId="54728D3A" w:rsidR="00C168C4" w:rsidRDefault="00C168C4" w:rsidP="00C168C4">
      <w:r>
        <w:rPr>
          <w:rStyle w:val="FootnoteReference"/>
        </w:rPr>
        <w:footnoteRef/>
      </w:r>
      <w:r>
        <w:t xml:space="preserve"> </w:t>
      </w:r>
      <w:r w:rsidRPr="00EC68B1">
        <w:rPr>
          <w:sz w:val="20"/>
          <w:szCs w:val="20"/>
        </w:rPr>
        <w:t>Please note that statistics in Scottish Government’s Criminal Proceedings data on Restriction of Liberty Orders (RLOs) will not match statistics published by G4S</w:t>
      </w:r>
      <w:r w:rsidR="002452A5">
        <w:rPr>
          <w:sz w:val="20"/>
          <w:szCs w:val="20"/>
        </w:rPr>
        <w:t>.</w:t>
      </w:r>
      <w:r w:rsidRPr="00EC68B1">
        <w:rPr>
          <w:sz w:val="20"/>
          <w:szCs w:val="20"/>
        </w:rPr>
        <w:t xml:space="preserve"> This is because statistics in the former publication are representative of the main charge in a set of proceedings and will mask RLOs issued for secondary charges. By contrast, the G4S figures count all RLOs issued by the courts relating to all charges.</w:t>
      </w:r>
    </w:p>
  </w:footnote>
  <w:footnote w:id="35">
    <w:p w14:paraId="4ECA9667" w14:textId="4001B87B" w:rsidR="00C168C4" w:rsidRDefault="00C168C4" w:rsidP="00C168C4">
      <w:pPr>
        <w:pStyle w:val="FootnoteText"/>
      </w:pPr>
      <w:r>
        <w:rPr>
          <w:rStyle w:val="FootnoteReference"/>
        </w:rPr>
        <w:footnoteRef/>
      </w:r>
      <w:r>
        <w:t xml:space="preserve"> Scottish Government</w:t>
      </w:r>
      <w:r w:rsidR="003214EE">
        <w:t>:</w:t>
      </w:r>
      <w:r>
        <w:t xml:space="preserve"> </w:t>
      </w:r>
      <w:hyperlink r:id="rId31" w:history="1">
        <w:r w:rsidR="000F1424">
          <w:rPr>
            <w:rStyle w:val="Hyperlink"/>
          </w:rPr>
          <w:t>Justice Social Work Statistics in Scotland: 2023-24, Part 1: Chapter 10, Home detention curfew assessments</w:t>
        </w:r>
      </w:hyperlink>
      <w:r w:rsidR="00BC68A0">
        <w:t>.</w:t>
      </w:r>
    </w:p>
  </w:footnote>
  <w:footnote w:id="36">
    <w:p w14:paraId="0D06B576" w14:textId="77777777" w:rsidR="00FC2C1D" w:rsidRDefault="00FC2C1D" w:rsidP="00FC2C1D">
      <w:pPr>
        <w:pStyle w:val="FootnoteText"/>
      </w:pPr>
      <w:r>
        <w:rPr>
          <w:rStyle w:val="FootnoteReference"/>
        </w:rPr>
        <w:footnoteRef/>
      </w:r>
      <w:r>
        <w:t xml:space="preserve"> </w:t>
      </w:r>
      <w:hyperlink r:id="rId32" w:history="1">
        <w:r>
          <w:rPr>
            <w:rStyle w:val="Hyperlink"/>
          </w:rPr>
          <w:t>Justice Social Work Statistics in Justice Social Work Scotland: 2023-24, Part 2</w:t>
        </w:r>
      </w:hyperlink>
      <w:r>
        <w:t>.</w:t>
      </w:r>
    </w:p>
  </w:footnote>
  <w:footnote w:id="37">
    <w:p w14:paraId="556C16D4" w14:textId="77777777" w:rsidR="00FC2C1D" w:rsidRDefault="00FC2C1D" w:rsidP="00FC2C1D">
      <w:pPr>
        <w:pStyle w:val="FootnoteText"/>
      </w:pPr>
      <w:r>
        <w:rPr>
          <w:rStyle w:val="FootnoteReference"/>
        </w:rPr>
        <w:footnoteRef/>
      </w:r>
      <w:r>
        <w:t xml:space="preserve"> Scottish Government (2023) </w:t>
      </w:r>
      <w:hyperlink r:id="rId33" w:history="1">
        <w:r w:rsidRPr="00A82F68">
          <w:rPr>
            <w:rStyle w:val="Hyperlink"/>
          </w:rPr>
          <w:t>Review of sentencing options for people who use drugs</w:t>
        </w:r>
      </w:hyperlink>
    </w:p>
  </w:footnote>
  <w:footnote w:id="38">
    <w:p w14:paraId="648D313A" w14:textId="77777777" w:rsidR="00FC2C1D" w:rsidRDefault="00FC2C1D" w:rsidP="00FC2C1D">
      <w:pPr>
        <w:pStyle w:val="FootnoteText"/>
      </w:pPr>
      <w:r>
        <w:rPr>
          <w:rStyle w:val="FootnoteReference"/>
        </w:rPr>
        <w:footnoteRef/>
      </w:r>
      <w:r>
        <w:t xml:space="preserve"> </w:t>
      </w:r>
      <w:hyperlink r:id="rId34" w:history="1">
        <w:r>
          <w:rPr>
            <w:rStyle w:val="Hyperlink"/>
          </w:rPr>
          <w:t>Justice Social Work Statistics in Scotland: 2023-24, Part 1</w:t>
        </w:r>
      </w:hyperlink>
      <w:r>
        <w:t>.</w:t>
      </w:r>
    </w:p>
  </w:footnote>
  <w:footnote w:id="39">
    <w:p w14:paraId="455D9D2D" w14:textId="77777777" w:rsidR="00BA18BE" w:rsidRDefault="00BA18BE" w:rsidP="00BA18BE">
      <w:r>
        <w:rPr>
          <w:rStyle w:val="FootnoteReference"/>
        </w:rPr>
        <w:footnoteRef/>
      </w:r>
      <w:r>
        <w:t xml:space="preserve"> </w:t>
      </w:r>
      <w:r w:rsidRPr="00336EE0">
        <w:rPr>
          <w:sz w:val="20"/>
          <w:szCs w:val="20"/>
        </w:rPr>
        <w:t xml:space="preserve">Source: </w:t>
      </w:r>
      <w:r w:rsidRPr="00376351">
        <w:rPr>
          <w:sz w:val="20"/>
          <w:szCs w:val="20"/>
        </w:rPr>
        <w:t>Public Health Scotland</w:t>
      </w:r>
      <w:r>
        <w:rPr>
          <w:sz w:val="20"/>
          <w:szCs w:val="20"/>
        </w:rPr>
        <w:t>.</w:t>
      </w:r>
      <w:r w:rsidRPr="001A473A">
        <w:rPr>
          <w:sz w:val="20"/>
          <w:szCs w:val="20"/>
        </w:rPr>
        <w:t xml:space="preserve"> </w:t>
      </w:r>
      <w:r w:rsidRPr="00336EE0">
        <w:rPr>
          <w:sz w:val="20"/>
          <w:szCs w:val="20"/>
        </w:rPr>
        <w:t>National drug and alcohol treatment waiting times</w:t>
      </w:r>
      <w:r>
        <w:rPr>
          <w:sz w:val="20"/>
          <w:szCs w:val="20"/>
        </w:rPr>
        <w:t>:</w:t>
      </w:r>
      <w:r w:rsidRPr="00336EE0">
        <w:rPr>
          <w:sz w:val="20"/>
          <w:szCs w:val="20"/>
        </w:rPr>
        <w:t xml:space="preserve"> 1 April 2024 to 30 June 2024</w:t>
      </w:r>
      <w:r>
        <w:rPr>
          <w:sz w:val="20"/>
          <w:szCs w:val="20"/>
        </w:rPr>
        <w:t>.</w:t>
      </w:r>
    </w:p>
  </w:footnote>
  <w:footnote w:id="40">
    <w:p w14:paraId="11705180" w14:textId="77777777" w:rsidR="00BA18BE" w:rsidRDefault="00BA18BE" w:rsidP="00BA18BE">
      <w:pPr>
        <w:pStyle w:val="FootnoteText"/>
      </w:pPr>
      <w:r>
        <w:rPr>
          <w:rStyle w:val="FootnoteReference"/>
        </w:rPr>
        <w:footnoteRef/>
      </w:r>
      <w:r>
        <w:t xml:space="preserve"> </w:t>
      </w:r>
      <w:hyperlink r:id="rId35" w:history="1">
        <w:r w:rsidRPr="00BC3A15">
          <w:rPr>
            <w:rStyle w:val="Hyperlink"/>
          </w:rPr>
          <w:t>National benchmarking report on the implementation of the medication assisted treatment (MAT) standards: Scotland 2023/24</w:t>
        </w:r>
      </w:hyperlink>
      <w:r>
        <w:t>.</w:t>
      </w:r>
    </w:p>
  </w:footnote>
  <w:footnote w:id="41">
    <w:p w14:paraId="1CF34935" w14:textId="77777777" w:rsidR="00BA18BE" w:rsidRDefault="00BA18BE" w:rsidP="00BA18BE">
      <w:pPr>
        <w:pStyle w:val="FootnoteText"/>
      </w:pPr>
      <w:r>
        <w:rPr>
          <w:rStyle w:val="FootnoteReference"/>
        </w:rPr>
        <w:footnoteRef/>
      </w:r>
      <w:r>
        <w:t xml:space="preserve"> Mental Welfare Commission for Scotland: </w:t>
      </w:r>
      <w:hyperlink r:id="rId36" w:history="1">
        <w:r>
          <w:rPr>
            <w:rStyle w:val="Hyperlink"/>
          </w:rPr>
          <w:t>Mental Health Support in Scotland’s Prisons 2021: under-served and under-resourced</w:t>
        </w:r>
      </w:hyperlink>
      <w:r>
        <w:t>.</w:t>
      </w:r>
    </w:p>
  </w:footnote>
  <w:footnote w:id="42">
    <w:p w14:paraId="68F80070" w14:textId="38CF7B20" w:rsidR="00044DC3" w:rsidRDefault="00044DC3">
      <w:pPr>
        <w:pStyle w:val="FootnoteText"/>
      </w:pPr>
      <w:r>
        <w:rPr>
          <w:rStyle w:val="FootnoteReference"/>
        </w:rPr>
        <w:footnoteRef/>
      </w:r>
      <w:r>
        <w:t xml:space="preserve"> </w:t>
      </w:r>
      <w:r w:rsidR="00D615C4">
        <w:t xml:space="preserve">Scottish Government: </w:t>
      </w:r>
      <w:hyperlink r:id="rId37" w:history="1">
        <w:r w:rsidR="00D615C4">
          <w:rPr>
            <w:rStyle w:val="Hyperlink"/>
          </w:rPr>
          <w:t>Homelessness in Scotland: prison homelessness</w:t>
        </w:r>
      </w:hyperlink>
      <w:r w:rsidR="00D615C4">
        <w:t>.</w:t>
      </w:r>
    </w:p>
  </w:footnote>
  <w:footnote w:id="43">
    <w:p w14:paraId="0A8E396D" w14:textId="77777777" w:rsidR="00A04551" w:rsidRDefault="00A04551" w:rsidP="00A04551">
      <w:pPr>
        <w:pStyle w:val="FootnoteText"/>
      </w:pPr>
      <w:r>
        <w:rPr>
          <w:rStyle w:val="FootnoteReference"/>
        </w:rPr>
        <w:footnoteRef/>
      </w:r>
      <w:r>
        <w:t xml:space="preserve"> </w:t>
      </w:r>
      <w:hyperlink r:id="rId38" w:history="1">
        <w:r>
          <w:rPr>
            <w:rStyle w:val="Hyperlink"/>
          </w:rPr>
          <w:t>Justice Social Work Statistics in Scotland: 2023-24, part 1</w:t>
        </w:r>
      </w:hyperlink>
      <w:r>
        <w:t>.</w:t>
      </w:r>
    </w:p>
  </w:footnote>
  <w:footnote w:id="44">
    <w:p w14:paraId="419FAF76" w14:textId="77777777" w:rsidR="00CA031C" w:rsidRDefault="00CA031C" w:rsidP="00CA031C">
      <w:pPr>
        <w:pStyle w:val="FootnoteText"/>
      </w:pPr>
      <w:r>
        <w:rPr>
          <w:rStyle w:val="FootnoteReference"/>
        </w:rPr>
        <w:footnoteRef/>
      </w:r>
      <w:r>
        <w:t xml:space="preserve"> Scottish Government (July 2024): </w:t>
      </w:r>
      <w:hyperlink r:id="rId39" w:history="1">
        <w:r>
          <w:rPr>
            <w:rStyle w:val="Hyperlink"/>
          </w:rPr>
          <w:t>Community justice outcomes: improvement planning and reporting: statutory guidance</w:t>
        </w:r>
      </w:hyperlink>
      <w:r>
        <w:t>.</w:t>
      </w:r>
    </w:p>
  </w:footnote>
  <w:footnote w:id="45">
    <w:p w14:paraId="5D493B8B" w14:textId="77777777" w:rsidR="000A4F49" w:rsidRPr="00336EE0" w:rsidRDefault="000A4F49" w:rsidP="000A4F49">
      <w:pPr>
        <w:pStyle w:val="FootnoteText"/>
      </w:pPr>
      <w:r>
        <w:rPr>
          <w:rStyle w:val="FootnoteReference"/>
        </w:rPr>
        <w:footnoteRef/>
      </w:r>
      <w:r w:rsidRPr="00616A78">
        <w:t xml:space="preserve"> </w:t>
      </w:r>
      <w:hyperlink r:id="rId40" w:history="1">
        <w:r w:rsidRPr="00336EE0">
          <w:t>Scottish Crime and Justice Survey</w:t>
        </w:r>
        <w:r>
          <w:t xml:space="preserve">: </w:t>
        </w:r>
        <w:r w:rsidRPr="00336EE0">
          <w:t>associated data tables</w:t>
        </w:r>
        <w:r>
          <w:t xml:space="preserve">: </w:t>
        </w:r>
        <w:r w:rsidRPr="00336EE0">
          <w:t>modules A,</w:t>
        </w:r>
        <w:r>
          <w:t xml:space="preserve"> </w:t>
        </w:r>
        <w:r w:rsidRPr="00336EE0">
          <w:t>B, C and D</w:t>
        </w:r>
        <w:r>
          <w:t>:</w:t>
        </w:r>
        <w:r w:rsidRPr="00336EE0">
          <w:t xml:space="preserve"> 2017-18 to 2020-21</w:t>
        </w:r>
      </w:hyperlink>
      <w:r>
        <w:t>.</w:t>
      </w:r>
    </w:p>
    <w:p w14:paraId="5D7E32C4" w14:textId="77777777" w:rsidR="000A4F49" w:rsidRDefault="000A4F49" w:rsidP="000A4F49">
      <w:pPr>
        <w:pStyle w:val="FootnoteText"/>
      </w:pPr>
    </w:p>
  </w:footnote>
  <w:footnote w:id="46">
    <w:p w14:paraId="4D6E6464" w14:textId="77777777" w:rsidR="000A4F49" w:rsidRDefault="000A4F49" w:rsidP="000A4F49">
      <w:pPr>
        <w:spacing w:before="0" w:after="0" w:line="240" w:lineRule="auto"/>
      </w:pPr>
      <w:r>
        <w:rPr>
          <w:rStyle w:val="FootnoteReference"/>
        </w:rPr>
        <w:footnoteRef/>
      </w:r>
      <w:r>
        <w:t xml:space="preserve"> </w:t>
      </w:r>
      <w:r w:rsidRPr="001863D0">
        <w:rPr>
          <w:sz w:val="20"/>
          <w:szCs w:val="20"/>
        </w:rPr>
        <w:t xml:space="preserve">Scottish Government (2023) </w:t>
      </w:r>
      <w:hyperlink r:id="rId41" w:history="1">
        <w:r w:rsidRPr="001863D0">
          <w:rPr>
            <w:rStyle w:val="Hyperlink"/>
            <w:sz w:val="20"/>
            <w:szCs w:val="20"/>
          </w:rPr>
          <w:t>Scottish Crime and Justice Survey 2021-22</w:t>
        </w:r>
      </w:hyperlink>
      <w:r w:rsidRPr="001863D0">
        <w:rPr>
          <w:sz w:val="20"/>
          <w:szCs w:val="20"/>
        </w:rPr>
        <w:t xml:space="preserve"> </w:t>
      </w:r>
    </w:p>
  </w:footnote>
  <w:footnote w:id="47">
    <w:p w14:paraId="1F0E2C58" w14:textId="77777777" w:rsidR="000A4F49" w:rsidRDefault="000A4F49" w:rsidP="000A4F49">
      <w:pPr>
        <w:pStyle w:val="FootnoteText"/>
      </w:pPr>
      <w:r>
        <w:rPr>
          <w:rStyle w:val="FootnoteReference"/>
        </w:rPr>
        <w:footnoteRef/>
      </w:r>
      <w:r>
        <w:t xml:space="preserve"> </w:t>
      </w:r>
      <w:hyperlink r:id="rId42" w:history="1">
        <w:r>
          <w:rPr>
            <w:rStyle w:val="Hyperlink"/>
          </w:rPr>
          <w:t>Community Justice Scotland Accounts: 2023-24</w:t>
        </w:r>
      </w:hyperlink>
      <w:r>
        <w:t>.</w:t>
      </w:r>
    </w:p>
    <w:p w14:paraId="7DC7E18A" w14:textId="77777777" w:rsidR="000A4F49" w:rsidRDefault="000A4F49" w:rsidP="000A4F4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672"/>
    <w:multiLevelType w:val="multilevel"/>
    <w:tmpl w:val="499C4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92C8B"/>
    <w:multiLevelType w:val="multilevel"/>
    <w:tmpl w:val="167E4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4459F"/>
    <w:multiLevelType w:val="multilevel"/>
    <w:tmpl w:val="663A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2641D8"/>
    <w:multiLevelType w:val="hybridMultilevel"/>
    <w:tmpl w:val="8592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22CBA"/>
    <w:multiLevelType w:val="multilevel"/>
    <w:tmpl w:val="0A220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C3184"/>
    <w:multiLevelType w:val="multilevel"/>
    <w:tmpl w:val="AA8A0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42E08"/>
    <w:multiLevelType w:val="hybridMultilevel"/>
    <w:tmpl w:val="47DAC48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D12618"/>
    <w:multiLevelType w:val="multilevel"/>
    <w:tmpl w:val="345AC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4E556B"/>
    <w:multiLevelType w:val="multilevel"/>
    <w:tmpl w:val="6FD24A1A"/>
    <w:lvl w:ilvl="0">
      <w:start w:val="1"/>
      <w:numFmt w:val="decimal"/>
      <w:pStyle w:val="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DAE7EFA"/>
    <w:multiLevelType w:val="multilevel"/>
    <w:tmpl w:val="1366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6D1988"/>
    <w:multiLevelType w:val="multilevel"/>
    <w:tmpl w:val="4B848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FA2730"/>
    <w:multiLevelType w:val="multilevel"/>
    <w:tmpl w:val="262E2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B4138"/>
    <w:multiLevelType w:val="multilevel"/>
    <w:tmpl w:val="692049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54153"/>
    <w:multiLevelType w:val="multilevel"/>
    <w:tmpl w:val="B0E28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6C71A1"/>
    <w:multiLevelType w:val="multilevel"/>
    <w:tmpl w:val="EC9CA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9202F"/>
    <w:multiLevelType w:val="multilevel"/>
    <w:tmpl w:val="EBCC9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A26545"/>
    <w:multiLevelType w:val="multilevel"/>
    <w:tmpl w:val="CC985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56C77"/>
    <w:multiLevelType w:val="multilevel"/>
    <w:tmpl w:val="C434B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C50EF1"/>
    <w:multiLevelType w:val="multilevel"/>
    <w:tmpl w:val="ED2C33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82E91"/>
    <w:multiLevelType w:val="multilevel"/>
    <w:tmpl w:val="63760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8E435F"/>
    <w:multiLevelType w:val="multilevel"/>
    <w:tmpl w:val="C14C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733E80"/>
    <w:multiLevelType w:val="multilevel"/>
    <w:tmpl w:val="CB92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3A5B46"/>
    <w:multiLevelType w:val="multilevel"/>
    <w:tmpl w:val="BE6CE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C66E0D"/>
    <w:multiLevelType w:val="multilevel"/>
    <w:tmpl w:val="594E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380244"/>
    <w:multiLevelType w:val="multilevel"/>
    <w:tmpl w:val="11425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F4B79"/>
    <w:multiLevelType w:val="multilevel"/>
    <w:tmpl w:val="3CF4C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B968F5"/>
    <w:multiLevelType w:val="multilevel"/>
    <w:tmpl w:val="AA249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4316EB"/>
    <w:multiLevelType w:val="hybridMultilevel"/>
    <w:tmpl w:val="AA52B95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63B3ADD"/>
    <w:multiLevelType w:val="hybridMultilevel"/>
    <w:tmpl w:val="A0B6E96A"/>
    <w:lvl w:ilvl="0" w:tplc="08090001">
      <w:start w:val="1"/>
      <w:numFmt w:val="bullet"/>
      <w:lvlText w:val=""/>
      <w:lvlJc w:val="left"/>
      <w:pPr>
        <w:ind w:left="1440" w:hanging="360"/>
      </w:pPr>
      <w:rPr>
        <w:rFonts w:ascii="Symbol" w:hAnsi="Symbol" w:hint="default"/>
      </w:rPr>
    </w:lvl>
    <w:lvl w:ilvl="1" w:tplc="42A6663E">
      <w:numFmt w:val="bullet"/>
      <w:lvlText w:val="•"/>
      <w:lvlJc w:val="left"/>
      <w:pPr>
        <w:ind w:left="2160" w:hanging="360"/>
      </w:pPr>
      <w:rPr>
        <w:rFonts w:ascii="Roboto" w:eastAsiaTheme="minorHAnsi" w:hAnsi="Roboto" w:cstheme="minorBidi" w:hint="default"/>
      </w:rPr>
    </w:lvl>
    <w:lvl w:ilvl="2" w:tplc="40FEB436">
      <w:numFmt w:val="bullet"/>
      <w:lvlText w:val="-"/>
      <w:lvlJc w:val="left"/>
      <w:pPr>
        <w:ind w:left="2880" w:hanging="360"/>
      </w:pPr>
      <w:rPr>
        <w:rFonts w:ascii="Roboto" w:eastAsiaTheme="majorEastAsia" w:hAnsi="Roboto"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6BB5C39"/>
    <w:multiLevelType w:val="multilevel"/>
    <w:tmpl w:val="73CCB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2F35A5"/>
    <w:multiLevelType w:val="multilevel"/>
    <w:tmpl w:val="718C9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043AAF"/>
    <w:multiLevelType w:val="multilevel"/>
    <w:tmpl w:val="1A9E8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5732E1"/>
    <w:multiLevelType w:val="multilevel"/>
    <w:tmpl w:val="37842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A63FE4"/>
    <w:multiLevelType w:val="multilevel"/>
    <w:tmpl w:val="C088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803E2B"/>
    <w:multiLevelType w:val="multilevel"/>
    <w:tmpl w:val="8C9E3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C67A20"/>
    <w:multiLevelType w:val="multilevel"/>
    <w:tmpl w:val="CB0414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51148C"/>
    <w:multiLevelType w:val="multilevel"/>
    <w:tmpl w:val="ED8E0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1629F9"/>
    <w:multiLevelType w:val="hybridMultilevel"/>
    <w:tmpl w:val="FBAE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662B22"/>
    <w:multiLevelType w:val="multilevel"/>
    <w:tmpl w:val="DF685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71621C"/>
    <w:multiLevelType w:val="multilevel"/>
    <w:tmpl w:val="44DE4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8D6504"/>
    <w:multiLevelType w:val="hybridMultilevel"/>
    <w:tmpl w:val="403C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427A18"/>
    <w:multiLevelType w:val="multilevel"/>
    <w:tmpl w:val="692049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857C17"/>
    <w:multiLevelType w:val="hybridMultilevel"/>
    <w:tmpl w:val="919A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617FB0"/>
    <w:multiLevelType w:val="hybridMultilevel"/>
    <w:tmpl w:val="A83A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3564F1"/>
    <w:multiLevelType w:val="multilevel"/>
    <w:tmpl w:val="6194D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DF65BA"/>
    <w:multiLevelType w:val="multilevel"/>
    <w:tmpl w:val="B6461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7D745B"/>
    <w:multiLevelType w:val="multilevel"/>
    <w:tmpl w:val="33604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393DB0"/>
    <w:multiLevelType w:val="hybridMultilevel"/>
    <w:tmpl w:val="7B80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BE0C96"/>
    <w:multiLevelType w:val="multilevel"/>
    <w:tmpl w:val="EBEC7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981B53"/>
    <w:multiLevelType w:val="multilevel"/>
    <w:tmpl w:val="00BA2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AD130A"/>
    <w:multiLevelType w:val="multilevel"/>
    <w:tmpl w:val="2D64A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5F51E8"/>
    <w:multiLevelType w:val="multilevel"/>
    <w:tmpl w:val="0CA0A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831017"/>
    <w:multiLevelType w:val="hybridMultilevel"/>
    <w:tmpl w:val="C7A23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54" w15:restartNumberingAfterBreak="0">
    <w:nsid w:val="66DC4948"/>
    <w:multiLevelType w:val="multilevel"/>
    <w:tmpl w:val="3F40F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9C0B87"/>
    <w:multiLevelType w:val="multilevel"/>
    <w:tmpl w:val="DEAA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6954B9"/>
    <w:multiLevelType w:val="multilevel"/>
    <w:tmpl w:val="17706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51155D"/>
    <w:multiLevelType w:val="multilevel"/>
    <w:tmpl w:val="6E0C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BE20D0C"/>
    <w:multiLevelType w:val="hybridMultilevel"/>
    <w:tmpl w:val="8E303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832CA6"/>
    <w:multiLevelType w:val="hybridMultilevel"/>
    <w:tmpl w:val="537C2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6D8F433B"/>
    <w:multiLevelType w:val="multilevel"/>
    <w:tmpl w:val="C1427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98262A"/>
    <w:multiLevelType w:val="multilevel"/>
    <w:tmpl w:val="BE44C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A85582"/>
    <w:multiLevelType w:val="multilevel"/>
    <w:tmpl w:val="5EC05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3C4D10"/>
    <w:multiLevelType w:val="multilevel"/>
    <w:tmpl w:val="2ED88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9C22D4"/>
    <w:multiLevelType w:val="multilevel"/>
    <w:tmpl w:val="AD726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9F4960"/>
    <w:multiLevelType w:val="multilevel"/>
    <w:tmpl w:val="581A3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B2282B"/>
    <w:multiLevelType w:val="multilevel"/>
    <w:tmpl w:val="651A0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9119981">
    <w:abstractNumId w:val="53"/>
  </w:num>
  <w:num w:numId="2" w16cid:durableId="1246762365">
    <w:abstractNumId w:val="8"/>
  </w:num>
  <w:num w:numId="3" w16cid:durableId="1580868751">
    <w:abstractNumId w:val="40"/>
  </w:num>
  <w:num w:numId="4" w16cid:durableId="1743210602">
    <w:abstractNumId w:val="47"/>
  </w:num>
  <w:num w:numId="5" w16cid:durableId="18161783">
    <w:abstractNumId w:val="2"/>
  </w:num>
  <w:num w:numId="6" w16cid:durableId="1474979968">
    <w:abstractNumId w:val="42"/>
  </w:num>
  <w:num w:numId="7" w16cid:durableId="1855654359">
    <w:abstractNumId w:val="59"/>
  </w:num>
  <w:num w:numId="8" w16cid:durableId="1577011522">
    <w:abstractNumId w:val="23"/>
  </w:num>
  <w:num w:numId="9" w16cid:durableId="767698884">
    <w:abstractNumId w:val="28"/>
  </w:num>
  <w:num w:numId="10" w16cid:durableId="1011184828">
    <w:abstractNumId w:val="12"/>
  </w:num>
  <w:num w:numId="11" w16cid:durableId="2003199724">
    <w:abstractNumId w:val="41"/>
  </w:num>
  <w:num w:numId="12" w16cid:durableId="1529566168">
    <w:abstractNumId w:val="27"/>
  </w:num>
  <w:num w:numId="13" w16cid:durableId="1931742818">
    <w:abstractNumId w:val="18"/>
  </w:num>
  <w:num w:numId="14" w16cid:durableId="454443071">
    <w:abstractNumId w:val="6"/>
  </w:num>
  <w:num w:numId="15" w16cid:durableId="215631261">
    <w:abstractNumId w:val="43"/>
  </w:num>
  <w:num w:numId="16" w16cid:durableId="69160496">
    <w:abstractNumId w:val="60"/>
  </w:num>
  <w:num w:numId="17" w16cid:durableId="1816868161">
    <w:abstractNumId w:val="55"/>
  </w:num>
  <w:num w:numId="18" w16cid:durableId="2119523383">
    <w:abstractNumId w:val="62"/>
  </w:num>
  <w:num w:numId="19" w16cid:durableId="1406495877">
    <w:abstractNumId w:val="14"/>
  </w:num>
  <w:num w:numId="20" w16cid:durableId="893392632">
    <w:abstractNumId w:val="57"/>
  </w:num>
  <w:num w:numId="21" w16cid:durableId="2028562448">
    <w:abstractNumId w:val="66"/>
  </w:num>
  <w:num w:numId="22" w16cid:durableId="1849174024">
    <w:abstractNumId w:val="19"/>
  </w:num>
  <w:num w:numId="23" w16cid:durableId="283579050">
    <w:abstractNumId w:val="1"/>
  </w:num>
  <w:num w:numId="24" w16cid:durableId="439376193">
    <w:abstractNumId w:val="39"/>
  </w:num>
  <w:num w:numId="25" w16cid:durableId="1815295882">
    <w:abstractNumId w:val="38"/>
  </w:num>
  <w:num w:numId="26" w16cid:durableId="1421872785">
    <w:abstractNumId w:val="22"/>
  </w:num>
  <w:num w:numId="27" w16cid:durableId="1642030633">
    <w:abstractNumId w:val="61"/>
  </w:num>
  <w:num w:numId="28" w16cid:durableId="1670717852">
    <w:abstractNumId w:val="33"/>
  </w:num>
  <w:num w:numId="29" w16cid:durableId="46610612">
    <w:abstractNumId w:val="34"/>
  </w:num>
  <w:num w:numId="30" w16cid:durableId="1063256798">
    <w:abstractNumId w:val="36"/>
  </w:num>
  <w:num w:numId="31" w16cid:durableId="1626889772">
    <w:abstractNumId w:val="16"/>
  </w:num>
  <w:num w:numId="32" w16cid:durableId="2025670402">
    <w:abstractNumId w:val="31"/>
  </w:num>
  <w:num w:numId="33" w16cid:durableId="1265383093">
    <w:abstractNumId w:val="45"/>
  </w:num>
  <w:num w:numId="34" w16cid:durableId="1991210626">
    <w:abstractNumId w:val="32"/>
  </w:num>
  <w:num w:numId="35" w16cid:durableId="1104417029">
    <w:abstractNumId w:val="49"/>
  </w:num>
  <w:num w:numId="36" w16cid:durableId="157619090">
    <w:abstractNumId w:val="26"/>
  </w:num>
  <w:num w:numId="37" w16cid:durableId="510880251">
    <w:abstractNumId w:val="44"/>
  </w:num>
  <w:num w:numId="38" w16cid:durableId="891623610">
    <w:abstractNumId w:val="37"/>
  </w:num>
  <w:num w:numId="39" w16cid:durableId="1457022874">
    <w:abstractNumId w:val="25"/>
  </w:num>
  <w:num w:numId="40" w16cid:durableId="1817407285">
    <w:abstractNumId w:val="17"/>
  </w:num>
  <w:num w:numId="41" w16cid:durableId="2114862801">
    <w:abstractNumId w:val="11"/>
  </w:num>
  <w:num w:numId="42" w16cid:durableId="1397237158">
    <w:abstractNumId w:val="30"/>
  </w:num>
  <w:num w:numId="43" w16cid:durableId="1648589540">
    <w:abstractNumId w:val="46"/>
  </w:num>
  <w:num w:numId="44" w16cid:durableId="1717317681">
    <w:abstractNumId w:val="54"/>
  </w:num>
  <w:num w:numId="45" w16cid:durableId="935090561">
    <w:abstractNumId w:val="24"/>
  </w:num>
  <w:num w:numId="46" w16cid:durableId="6711453">
    <w:abstractNumId w:val="65"/>
  </w:num>
  <w:num w:numId="47" w16cid:durableId="1539976891">
    <w:abstractNumId w:val="51"/>
  </w:num>
  <w:num w:numId="48" w16cid:durableId="1046105776">
    <w:abstractNumId w:val="4"/>
  </w:num>
  <w:num w:numId="49" w16cid:durableId="2040548174">
    <w:abstractNumId w:val="29"/>
  </w:num>
  <w:num w:numId="50" w16cid:durableId="1082609345">
    <w:abstractNumId w:val="10"/>
  </w:num>
  <w:num w:numId="51" w16cid:durableId="297956311">
    <w:abstractNumId w:val="52"/>
  </w:num>
  <w:num w:numId="52" w16cid:durableId="2029141088">
    <w:abstractNumId w:val="20"/>
  </w:num>
  <w:num w:numId="53" w16cid:durableId="1293709605">
    <w:abstractNumId w:val="21"/>
  </w:num>
  <w:num w:numId="54" w16cid:durableId="702360528">
    <w:abstractNumId w:val="9"/>
  </w:num>
  <w:num w:numId="55" w16cid:durableId="2144805226">
    <w:abstractNumId w:val="7"/>
  </w:num>
  <w:num w:numId="56" w16cid:durableId="13775670">
    <w:abstractNumId w:val="5"/>
  </w:num>
  <w:num w:numId="57" w16cid:durableId="512764711">
    <w:abstractNumId w:val="13"/>
  </w:num>
  <w:num w:numId="58" w16cid:durableId="1950695530">
    <w:abstractNumId w:val="15"/>
  </w:num>
  <w:num w:numId="59" w16cid:durableId="105387799">
    <w:abstractNumId w:val="64"/>
  </w:num>
  <w:num w:numId="60" w16cid:durableId="1274703701">
    <w:abstractNumId w:val="58"/>
  </w:num>
  <w:num w:numId="61" w16cid:durableId="1474174218">
    <w:abstractNumId w:val="56"/>
  </w:num>
  <w:num w:numId="62" w16cid:durableId="483860972">
    <w:abstractNumId w:val="3"/>
  </w:num>
  <w:num w:numId="63" w16cid:durableId="1823497901">
    <w:abstractNumId w:val="35"/>
  </w:num>
  <w:num w:numId="64" w16cid:durableId="2077432542">
    <w:abstractNumId w:val="50"/>
  </w:num>
  <w:num w:numId="65" w16cid:durableId="952058370">
    <w:abstractNumId w:val="48"/>
  </w:num>
  <w:num w:numId="66" w16cid:durableId="2105420770">
    <w:abstractNumId w:val="63"/>
  </w:num>
  <w:num w:numId="67" w16cid:durableId="52842191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1" w:cryptProviderType="rsaAES" w:cryptAlgorithmClass="hash" w:cryptAlgorithmType="typeAny" w:cryptAlgorithmSid="14" w:cryptSpinCount="100000" w:hash="k363yHXFyU718+djzUXV+L7tOmHU1L1O1jJ31HOe+klvNlRzl09kSWAMCz9FmI6lhdT7tGd8eGzv22imUGXDWQ==" w:salt="pxak6W+V9DaGOfbOZTd3Z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40"/>
    <w:rsid w:val="000004D1"/>
    <w:rsid w:val="00000958"/>
    <w:rsid w:val="00001072"/>
    <w:rsid w:val="00001205"/>
    <w:rsid w:val="00001796"/>
    <w:rsid w:val="000019BD"/>
    <w:rsid w:val="00002471"/>
    <w:rsid w:val="00003A40"/>
    <w:rsid w:val="00003C9B"/>
    <w:rsid w:val="00004195"/>
    <w:rsid w:val="0000422F"/>
    <w:rsid w:val="0000569B"/>
    <w:rsid w:val="000056AA"/>
    <w:rsid w:val="00005AD4"/>
    <w:rsid w:val="000061A5"/>
    <w:rsid w:val="00006226"/>
    <w:rsid w:val="000066E2"/>
    <w:rsid w:val="0000670E"/>
    <w:rsid w:val="00006AFC"/>
    <w:rsid w:val="00006B14"/>
    <w:rsid w:val="00006B18"/>
    <w:rsid w:val="00006D2E"/>
    <w:rsid w:val="00006D39"/>
    <w:rsid w:val="00006F14"/>
    <w:rsid w:val="0000765B"/>
    <w:rsid w:val="000079E6"/>
    <w:rsid w:val="00010C0E"/>
    <w:rsid w:val="00010DC4"/>
    <w:rsid w:val="00011052"/>
    <w:rsid w:val="000115BA"/>
    <w:rsid w:val="000124BC"/>
    <w:rsid w:val="00012DAB"/>
    <w:rsid w:val="00012E3C"/>
    <w:rsid w:val="0001384E"/>
    <w:rsid w:val="00013AF7"/>
    <w:rsid w:val="00013BCD"/>
    <w:rsid w:val="00014719"/>
    <w:rsid w:val="00014914"/>
    <w:rsid w:val="000150CB"/>
    <w:rsid w:val="00016044"/>
    <w:rsid w:val="00016254"/>
    <w:rsid w:val="00016775"/>
    <w:rsid w:val="00017B27"/>
    <w:rsid w:val="00017FA2"/>
    <w:rsid w:val="000207C4"/>
    <w:rsid w:val="000209FD"/>
    <w:rsid w:val="00020B32"/>
    <w:rsid w:val="00021B67"/>
    <w:rsid w:val="0002209F"/>
    <w:rsid w:val="00023502"/>
    <w:rsid w:val="0002360F"/>
    <w:rsid w:val="00023865"/>
    <w:rsid w:val="000239D3"/>
    <w:rsid w:val="000239EB"/>
    <w:rsid w:val="00023AF6"/>
    <w:rsid w:val="000240A2"/>
    <w:rsid w:val="00024438"/>
    <w:rsid w:val="00024B84"/>
    <w:rsid w:val="00024BB5"/>
    <w:rsid w:val="00025CB8"/>
    <w:rsid w:val="00026034"/>
    <w:rsid w:val="00026409"/>
    <w:rsid w:val="0002670D"/>
    <w:rsid w:val="00026822"/>
    <w:rsid w:val="00026945"/>
    <w:rsid w:val="00027C27"/>
    <w:rsid w:val="00027E9B"/>
    <w:rsid w:val="00030A29"/>
    <w:rsid w:val="0003117C"/>
    <w:rsid w:val="0003170A"/>
    <w:rsid w:val="00032049"/>
    <w:rsid w:val="0003274C"/>
    <w:rsid w:val="000328EE"/>
    <w:rsid w:val="00032A64"/>
    <w:rsid w:val="00032C29"/>
    <w:rsid w:val="00032E36"/>
    <w:rsid w:val="000333D8"/>
    <w:rsid w:val="000334BC"/>
    <w:rsid w:val="00033670"/>
    <w:rsid w:val="0003382D"/>
    <w:rsid w:val="00033B19"/>
    <w:rsid w:val="00034F4C"/>
    <w:rsid w:val="0003613C"/>
    <w:rsid w:val="000364AF"/>
    <w:rsid w:val="0003682B"/>
    <w:rsid w:val="00036A67"/>
    <w:rsid w:val="00036AB6"/>
    <w:rsid w:val="000378E6"/>
    <w:rsid w:val="00037A6B"/>
    <w:rsid w:val="00037B80"/>
    <w:rsid w:val="0004001F"/>
    <w:rsid w:val="000402CE"/>
    <w:rsid w:val="00040378"/>
    <w:rsid w:val="000403B7"/>
    <w:rsid w:val="00040A96"/>
    <w:rsid w:val="00040D8B"/>
    <w:rsid w:val="000413D7"/>
    <w:rsid w:val="0004140B"/>
    <w:rsid w:val="0004191A"/>
    <w:rsid w:val="00041932"/>
    <w:rsid w:val="00041E4F"/>
    <w:rsid w:val="00042AEA"/>
    <w:rsid w:val="00042E99"/>
    <w:rsid w:val="00043099"/>
    <w:rsid w:val="000438F9"/>
    <w:rsid w:val="00043C81"/>
    <w:rsid w:val="00044678"/>
    <w:rsid w:val="00044727"/>
    <w:rsid w:val="000449C0"/>
    <w:rsid w:val="00044A00"/>
    <w:rsid w:val="00044D4B"/>
    <w:rsid w:val="00044DC3"/>
    <w:rsid w:val="00045294"/>
    <w:rsid w:val="00045640"/>
    <w:rsid w:val="00045771"/>
    <w:rsid w:val="00045847"/>
    <w:rsid w:val="00046062"/>
    <w:rsid w:val="00046164"/>
    <w:rsid w:val="0004683D"/>
    <w:rsid w:val="00046C00"/>
    <w:rsid w:val="00047FE0"/>
    <w:rsid w:val="00050169"/>
    <w:rsid w:val="00050338"/>
    <w:rsid w:val="00050950"/>
    <w:rsid w:val="00050B32"/>
    <w:rsid w:val="00050D61"/>
    <w:rsid w:val="00050FAC"/>
    <w:rsid w:val="00051266"/>
    <w:rsid w:val="00051CA3"/>
    <w:rsid w:val="00051DD1"/>
    <w:rsid w:val="00051F02"/>
    <w:rsid w:val="00051FCB"/>
    <w:rsid w:val="00052161"/>
    <w:rsid w:val="0005242C"/>
    <w:rsid w:val="00052490"/>
    <w:rsid w:val="00052D60"/>
    <w:rsid w:val="00052F38"/>
    <w:rsid w:val="00053465"/>
    <w:rsid w:val="0005391D"/>
    <w:rsid w:val="00053BBA"/>
    <w:rsid w:val="00053CF7"/>
    <w:rsid w:val="00054048"/>
    <w:rsid w:val="00054476"/>
    <w:rsid w:val="000546C2"/>
    <w:rsid w:val="000550A4"/>
    <w:rsid w:val="0005532A"/>
    <w:rsid w:val="000557A0"/>
    <w:rsid w:val="00055DF6"/>
    <w:rsid w:val="00055F96"/>
    <w:rsid w:val="0005627A"/>
    <w:rsid w:val="000569AE"/>
    <w:rsid w:val="00056AF0"/>
    <w:rsid w:val="0005722A"/>
    <w:rsid w:val="00057492"/>
    <w:rsid w:val="0005759C"/>
    <w:rsid w:val="0005761F"/>
    <w:rsid w:val="000577E7"/>
    <w:rsid w:val="00057AB8"/>
    <w:rsid w:val="0006005D"/>
    <w:rsid w:val="0006073E"/>
    <w:rsid w:val="00060971"/>
    <w:rsid w:val="000613F9"/>
    <w:rsid w:val="00061525"/>
    <w:rsid w:val="000619CF"/>
    <w:rsid w:val="00061E21"/>
    <w:rsid w:val="000623AC"/>
    <w:rsid w:val="000629EE"/>
    <w:rsid w:val="00063131"/>
    <w:rsid w:val="000633A2"/>
    <w:rsid w:val="0006343B"/>
    <w:rsid w:val="00064026"/>
    <w:rsid w:val="00064331"/>
    <w:rsid w:val="00064719"/>
    <w:rsid w:val="00064A91"/>
    <w:rsid w:val="000654CF"/>
    <w:rsid w:val="00065668"/>
    <w:rsid w:val="00065867"/>
    <w:rsid w:val="00066042"/>
    <w:rsid w:val="00066423"/>
    <w:rsid w:val="0006663E"/>
    <w:rsid w:val="00066C89"/>
    <w:rsid w:val="00066E5E"/>
    <w:rsid w:val="00067C08"/>
    <w:rsid w:val="00070308"/>
    <w:rsid w:val="0007032A"/>
    <w:rsid w:val="000706C9"/>
    <w:rsid w:val="00071566"/>
    <w:rsid w:val="000724E2"/>
    <w:rsid w:val="00072CBF"/>
    <w:rsid w:val="00072E42"/>
    <w:rsid w:val="00073311"/>
    <w:rsid w:val="00073CF5"/>
    <w:rsid w:val="00074095"/>
    <w:rsid w:val="000741C3"/>
    <w:rsid w:val="0007432A"/>
    <w:rsid w:val="00074936"/>
    <w:rsid w:val="00074BE3"/>
    <w:rsid w:val="000752CF"/>
    <w:rsid w:val="000754A0"/>
    <w:rsid w:val="00075709"/>
    <w:rsid w:val="00075920"/>
    <w:rsid w:val="00075B72"/>
    <w:rsid w:val="00075E72"/>
    <w:rsid w:val="000766A7"/>
    <w:rsid w:val="00076A3F"/>
    <w:rsid w:val="00076CB5"/>
    <w:rsid w:val="00077070"/>
    <w:rsid w:val="0007740D"/>
    <w:rsid w:val="000778C0"/>
    <w:rsid w:val="00077A9F"/>
    <w:rsid w:val="00077CE2"/>
    <w:rsid w:val="000807BF"/>
    <w:rsid w:val="0008083B"/>
    <w:rsid w:val="000808AF"/>
    <w:rsid w:val="00080966"/>
    <w:rsid w:val="00080A32"/>
    <w:rsid w:val="000815BC"/>
    <w:rsid w:val="000817BA"/>
    <w:rsid w:val="0008182B"/>
    <w:rsid w:val="00081945"/>
    <w:rsid w:val="0008251E"/>
    <w:rsid w:val="00082644"/>
    <w:rsid w:val="000826D6"/>
    <w:rsid w:val="000828AF"/>
    <w:rsid w:val="0008448E"/>
    <w:rsid w:val="0008475E"/>
    <w:rsid w:val="0008488F"/>
    <w:rsid w:val="00084A86"/>
    <w:rsid w:val="00084E2A"/>
    <w:rsid w:val="000863C1"/>
    <w:rsid w:val="00086ED5"/>
    <w:rsid w:val="00086FBD"/>
    <w:rsid w:val="00087076"/>
    <w:rsid w:val="0008748A"/>
    <w:rsid w:val="00087B04"/>
    <w:rsid w:val="00087B11"/>
    <w:rsid w:val="00090497"/>
    <w:rsid w:val="00090842"/>
    <w:rsid w:val="00091261"/>
    <w:rsid w:val="000917F9"/>
    <w:rsid w:val="00091FAE"/>
    <w:rsid w:val="00091FE5"/>
    <w:rsid w:val="00092043"/>
    <w:rsid w:val="000923D4"/>
    <w:rsid w:val="0009245B"/>
    <w:rsid w:val="0009253D"/>
    <w:rsid w:val="00092562"/>
    <w:rsid w:val="00092A55"/>
    <w:rsid w:val="00092A7F"/>
    <w:rsid w:val="00093032"/>
    <w:rsid w:val="000930AD"/>
    <w:rsid w:val="0009401F"/>
    <w:rsid w:val="00094125"/>
    <w:rsid w:val="0009425C"/>
    <w:rsid w:val="00094458"/>
    <w:rsid w:val="0009460E"/>
    <w:rsid w:val="00094828"/>
    <w:rsid w:val="0009499E"/>
    <w:rsid w:val="00094A8D"/>
    <w:rsid w:val="00094D69"/>
    <w:rsid w:val="000950EB"/>
    <w:rsid w:val="00097104"/>
    <w:rsid w:val="00097B1D"/>
    <w:rsid w:val="00097BC6"/>
    <w:rsid w:val="000A007F"/>
    <w:rsid w:val="000A05A6"/>
    <w:rsid w:val="000A139A"/>
    <w:rsid w:val="000A20FA"/>
    <w:rsid w:val="000A31A3"/>
    <w:rsid w:val="000A3A1F"/>
    <w:rsid w:val="000A3C4A"/>
    <w:rsid w:val="000A40DE"/>
    <w:rsid w:val="000A47BB"/>
    <w:rsid w:val="000A4F49"/>
    <w:rsid w:val="000A505B"/>
    <w:rsid w:val="000A513D"/>
    <w:rsid w:val="000A553D"/>
    <w:rsid w:val="000A5C49"/>
    <w:rsid w:val="000A6C1B"/>
    <w:rsid w:val="000A6D1C"/>
    <w:rsid w:val="000A6EA7"/>
    <w:rsid w:val="000A72F1"/>
    <w:rsid w:val="000A7421"/>
    <w:rsid w:val="000A7896"/>
    <w:rsid w:val="000A7BFE"/>
    <w:rsid w:val="000B025E"/>
    <w:rsid w:val="000B054E"/>
    <w:rsid w:val="000B0613"/>
    <w:rsid w:val="000B0BDB"/>
    <w:rsid w:val="000B12C4"/>
    <w:rsid w:val="000B16EE"/>
    <w:rsid w:val="000B1820"/>
    <w:rsid w:val="000B18B6"/>
    <w:rsid w:val="000B20B2"/>
    <w:rsid w:val="000B20BA"/>
    <w:rsid w:val="000B233B"/>
    <w:rsid w:val="000B30B4"/>
    <w:rsid w:val="000B3701"/>
    <w:rsid w:val="000B3A56"/>
    <w:rsid w:val="000B42CD"/>
    <w:rsid w:val="000B42FA"/>
    <w:rsid w:val="000B44B8"/>
    <w:rsid w:val="000B45FA"/>
    <w:rsid w:val="000B4763"/>
    <w:rsid w:val="000B47CF"/>
    <w:rsid w:val="000B4DDF"/>
    <w:rsid w:val="000B4EB1"/>
    <w:rsid w:val="000B5388"/>
    <w:rsid w:val="000B5E68"/>
    <w:rsid w:val="000B60BF"/>
    <w:rsid w:val="000B625C"/>
    <w:rsid w:val="000B68B7"/>
    <w:rsid w:val="000B7CC0"/>
    <w:rsid w:val="000C0CF4"/>
    <w:rsid w:val="000C0DAE"/>
    <w:rsid w:val="000C208C"/>
    <w:rsid w:val="000C21BA"/>
    <w:rsid w:val="000C2784"/>
    <w:rsid w:val="000C3990"/>
    <w:rsid w:val="000C39F2"/>
    <w:rsid w:val="000C45F8"/>
    <w:rsid w:val="000C4C05"/>
    <w:rsid w:val="000C4D09"/>
    <w:rsid w:val="000C4D95"/>
    <w:rsid w:val="000C4E10"/>
    <w:rsid w:val="000C59CF"/>
    <w:rsid w:val="000C5AE4"/>
    <w:rsid w:val="000C627D"/>
    <w:rsid w:val="000C63A7"/>
    <w:rsid w:val="000C68BC"/>
    <w:rsid w:val="000C71CD"/>
    <w:rsid w:val="000C736C"/>
    <w:rsid w:val="000C7712"/>
    <w:rsid w:val="000C7A02"/>
    <w:rsid w:val="000D010E"/>
    <w:rsid w:val="000D03F3"/>
    <w:rsid w:val="000D0700"/>
    <w:rsid w:val="000D0760"/>
    <w:rsid w:val="000D0B1E"/>
    <w:rsid w:val="000D149F"/>
    <w:rsid w:val="000D1BAE"/>
    <w:rsid w:val="000D1F5F"/>
    <w:rsid w:val="000D32A5"/>
    <w:rsid w:val="000D330A"/>
    <w:rsid w:val="000D3A57"/>
    <w:rsid w:val="000D3CBE"/>
    <w:rsid w:val="000D4430"/>
    <w:rsid w:val="000D463C"/>
    <w:rsid w:val="000D4C39"/>
    <w:rsid w:val="000D4F75"/>
    <w:rsid w:val="000D51DE"/>
    <w:rsid w:val="000D57B1"/>
    <w:rsid w:val="000D5E8B"/>
    <w:rsid w:val="000D6416"/>
    <w:rsid w:val="000D643F"/>
    <w:rsid w:val="000D6B3E"/>
    <w:rsid w:val="000D79D9"/>
    <w:rsid w:val="000D7EA3"/>
    <w:rsid w:val="000E0699"/>
    <w:rsid w:val="000E0CFE"/>
    <w:rsid w:val="000E155B"/>
    <w:rsid w:val="000E1AE0"/>
    <w:rsid w:val="000E1B47"/>
    <w:rsid w:val="000E2161"/>
    <w:rsid w:val="000E28C6"/>
    <w:rsid w:val="000E2A47"/>
    <w:rsid w:val="000E3F86"/>
    <w:rsid w:val="000E4491"/>
    <w:rsid w:val="000E4534"/>
    <w:rsid w:val="000E467B"/>
    <w:rsid w:val="000E4BF1"/>
    <w:rsid w:val="000E4D14"/>
    <w:rsid w:val="000E5330"/>
    <w:rsid w:val="000E552F"/>
    <w:rsid w:val="000E5CCF"/>
    <w:rsid w:val="000E615D"/>
    <w:rsid w:val="000E77FA"/>
    <w:rsid w:val="000E79DA"/>
    <w:rsid w:val="000E7D21"/>
    <w:rsid w:val="000E7F26"/>
    <w:rsid w:val="000F0494"/>
    <w:rsid w:val="000F08B6"/>
    <w:rsid w:val="000F1066"/>
    <w:rsid w:val="000F10C0"/>
    <w:rsid w:val="000F1138"/>
    <w:rsid w:val="000F1424"/>
    <w:rsid w:val="000F1A53"/>
    <w:rsid w:val="000F237A"/>
    <w:rsid w:val="000F2522"/>
    <w:rsid w:val="000F2651"/>
    <w:rsid w:val="000F3481"/>
    <w:rsid w:val="000F358F"/>
    <w:rsid w:val="000F390B"/>
    <w:rsid w:val="000F3AA5"/>
    <w:rsid w:val="000F3CC2"/>
    <w:rsid w:val="000F3CF0"/>
    <w:rsid w:val="000F41A3"/>
    <w:rsid w:val="000F4BDA"/>
    <w:rsid w:val="000F4CAC"/>
    <w:rsid w:val="000F5703"/>
    <w:rsid w:val="000F5753"/>
    <w:rsid w:val="000F5B48"/>
    <w:rsid w:val="000F6A99"/>
    <w:rsid w:val="000F6E4F"/>
    <w:rsid w:val="000F7481"/>
    <w:rsid w:val="000F74C8"/>
    <w:rsid w:val="000F7C89"/>
    <w:rsid w:val="00100134"/>
    <w:rsid w:val="0010045A"/>
    <w:rsid w:val="00100468"/>
    <w:rsid w:val="00100F59"/>
    <w:rsid w:val="001014FC"/>
    <w:rsid w:val="001017FE"/>
    <w:rsid w:val="00101931"/>
    <w:rsid w:val="0010204F"/>
    <w:rsid w:val="00102157"/>
    <w:rsid w:val="00102392"/>
    <w:rsid w:val="001029B5"/>
    <w:rsid w:val="00102D4D"/>
    <w:rsid w:val="001036FB"/>
    <w:rsid w:val="001038A4"/>
    <w:rsid w:val="00103CDA"/>
    <w:rsid w:val="001049E1"/>
    <w:rsid w:val="001053E4"/>
    <w:rsid w:val="001055C2"/>
    <w:rsid w:val="00106071"/>
    <w:rsid w:val="00106149"/>
    <w:rsid w:val="00106385"/>
    <w:rsid w:val="00106478"/>
    <w:rsid w:val="00106DB6"/>
    <w:rsid w:val="00106ECE"/>
    <w:rsid w:val="00106FFF"/>
    <w:rsid w:val="00107435"/>
    <w:rsid w:val="00107CFA"/>
    <w:rsid w:val="00107D63"/>
    <w:rsid w:val="00110013"/>
    <w:rsid w:val="00110388"/>
    <w:rsid w:val="0011149F"/>
    <w:rsid w:val="00111C67"/>
    <w:rsid w:val="001134A5"/>
    <w:rsid w:val="00114233"/>
    <w:rsid w:val="00114741"/>
    <w:rsid w:val="00114A16"/>
    <w:rsid w:val="0011585B"/>
    <w:rsid w:val="00116095"/>
    <w:rsid w:val="00116AC9"/>
    <w:rsid w:val="00116E63"/>
    <w:rsid w:val="00117B5D"/>
    <w:rsid w:val="00117F80"/>
    <w:rsid w:val="00120ABD"/>
    <w:rsid w:val="00120D56"/>
    <w:rsid w:val="001223CA"/>
    <w:rsid w:val="0012299F"/>
    <w:rsid w:val="00122C68"/>
    <w:rsid w:val="0012311A"/>
    <w:rsid w:val="00123799"/>
    <w:rsid w:val="00123DAA"/>
    <w:rsid w:val="001243DB"/>
    <w:rsid w:val="00124517"/>
    <w:rsid w:val="0012496F"/>
    <w:rsid w:val="00124B2F"/>
    <w:rsid w:val="001256CF"/>
    <w:rsid w:val="00125CF2"/>
    <w:rsid w:val="0012690F"/>
    <w:rsid w:val="00126995"/>
    <w:rsid w:val="001270BF"/>
    <w:rsid w:val="001274AC"/>
    <w:rsid w:val="001275B2"/>
    <w:rsid w:val="001278A6"/>
    <w:rsid w:val="00127C4E"/>
    <w:rsid w:val="00127E25"/>
    <w:rsid w:val="00127E67"/>
    <w:rsid w:val="00127F21"/>
    <w:rsid w:val="00130460"/>
    <w:rsid w:val="001304BF"/>
    <w:rsid w:val="0013069A"/>
    <w:rsid w:val="00130924"/>
    <w:rsid w:val="00130AD9"/>
    <w:rsid w:val="00130B7A"/>
    <w:rsid w:val="00130C79"/>
    <w:rsid w:val="0013132B"/>
    <w:rsid w:val="00132251"/>
    <w:rsid w:val="00132512"/>
    <w:rsid w:val="00132780"/>
    <w:rsid w:val="001330EB"/>
    <w:rsid w:val="0013318F"/>
    <w:rsid w:val="00133684"/>
    <w:rsid w:val="00133CFA"/>
    <w:rsid w:val="00134660"/>
    <w:rsid w:val="00134DB3"/>
    <w:rsid w:val="001359F6"/>
    <w:rsid w:val="00135C2A"/>
    <w:rsid w:val="00135C4C"/>
    <w:rsid w:val="001364A3"/>
    <w:rsid w:val="00136628"/>
    <w:rsid w:val="00136690"/>
    <w:rsid w:val="001374F9"/>
    <w:rsid w:val="001378DB"/>
    <w:rsid w:val="00137A59"/>
    <w:rsid w:val="00137EE7"/>
    <w:rsid w:val="0014025C"/>
    <w:rsid w:val="00140318"/>
    <w:rsid w:val="00140E38"/>
    <w:rsid w:val="001411AE"/>
    <w:rsid w:val="001425A6"/>
    <w:rsid w:val="00142A4E"/>
    <w:rsid w:val="001434C4"/>
    <w:rsid w:val="00143D1A"/>
    <w:rsid w:val="00144029"/>
    <w:rsid w:val="00144647"/>
    <w:rsid w:val="0014477F"/>
    <w:rsid w:val="00145261"/>
    <w:rsid w:val="001452F9"/>
    <w:rsid w:val="00145316"/>
    <w:rsid w:val="001463EC"/>
    <w:rsid w:val="001464DB"/>
    <w:rsid w:val="001466FE"/>
    <w:rsid w:val="0014672F"/>
    <w:rsid w:val="001469F9"/>
    <w:rsid w:val="0014729D"/>
    <w:rsid w:val="00147F8B"/>
    <w:rsid w:val="00147FA3"/>
    <w:rsid w:val="00147FDD"/>
    <w:rsid w:val="00150087"/>
    <w:rsid w:val="0015011E"/>
    <w:rsid w:val="00150957"/>
    <w:rsid w:val="00150B7F"/>
    <w:rsid w:val="00151299"/>
    <w:rsid w:val="00151503"/>
    <w:rsid w:val="00151605"/>
    <w:rsid w:val="00151735"/>
    <w:rsid w:val="00151B79"/>
    <w:rsid w:val="00151B90"/>
    <w:rsid w:val="00151F64"/>
    <w:rsid w:val="00151FF3"/>
    <w:rsid w:val="0015254B"/>
    <w:rsid w:val="00153491"/>
    <w:rsid w:val="00153BC7"/>
    <w:rsid w:val="00153CB0"/>
    <w:rsid w:val="0015407F"/>
    <w:rsid w:val="001540EB"/>
    <w:rsid w:val="001542C7"/>
    <w:rsid w:val="00154EDE"/>
    <w:rsid w:val="00155274"/>
    <w:rsid w:val="001553BC"/>
    <w:rsid w:val="0015541A"/>
    <w:rsid w:val="00155843"/>
    <w:rsid w:val="00155E6A"/>
    <w:rsid w:val="0015624F"/>
    <w:rsid w:val="00156781"/>
    <w:rsid w:val="001568AA"/>
    <w:rsid w:val="00156D0C"/>
    <w:rsid w:val="00156E42"/>
    <w:rsid w:val="001574B0"/>
    <w:rsid w:val="00157BFF"/>
    <w:rsid w:val="00157C62"/>
    <w:rsid w:val="00157C6B"/>
    <w:rsid w:val="00160993"/>
    <w:rsid w:val="00160A98"/>
    <w:rsid w:val="0016116A"/>
    <w:rsid w:val="00161B69"/>
    <w:rsid w:val="00161D67"/>
    <w:rsid w:val="00161DAE"/>
    <w:rsid w:val="00161FCC"/>
    <w:rsid w:val="00163295"/>
    <w:rsid w:val="00163461"/>
    <w:rsid w:val="0016394B"/>
    <w:rsid w:val="00164085"/>
    <w:rsid w:val="001642FC"/>
    <w:rsid w:val="00164321"/>
    <w:rsid w:val="00165283"/>
    <w:rsid w:val="001652AD"/>
    <w:rsid w:val="00165645"/>
    <w:rsid w:val="00165FBA"/>
    <w:rsid w:val="0016642C"/>
    <w:rsid w:val="001665DD"/>
    <w:rsid w:val="0016667B"/>
    <w:rsid w:val="001667D6"/>
    <w:rsid w:val="00166A6D"/>
    <w:rsid w:val="00166E95"/>
    <w:rsid w:val="001672A6"/>
    <w:rsid w:val="00170901"/>
    <w:rsid w:val="00171086"/>
    <w:rsid w:val="0017119C"/>
    <w:rsid w:val="00171550"/>
    <w:rsid w:val="0017185B"/>
    <w:rsid w:val="001722AB"/>
    <w:rsid w:val="0017294C"/>
    <w:rsid w:val="00172C9C"/>
    <w:rsid w:val="00172E25"/>
    <w:rsid w:val="00172ED6"/>
    <w:rsid w:val="00172FBD"/>
    <w:rsid w:val="0017331D"/>
    <w:rsid w:val="0017343C"/>
    <w:rsid w:val="00173662"/>
    <w:rsid w:val="001736AD"/>
    <w:rsid w:val="00173942"/>
    <w:rsid w:val="0017418A"/>
    <w:rsid w:val="00174208"/>
    <w:rsid w:val="00174916"/>
    <w:rsid w:val="00175835"/>
    <w:rsid w:val="00175930"/>
    <w:rsid w:val="00175C79"/>
    <w:rsid w:val="00175CB9"/>
    <w:rsid w:val="00176124"/>
    <w:rsid w:val="00176476"/>
    <w:rsid w:val="00176A66"/>
    <w:rsid w:val="001771F7"/>
    <w:rsid w:val="001779D4"/>
    <w:rsid w:val="00177F8F"/>
    <w:rsid w:val="001801C1"/>
    <w:rsid w:val="001801DC"/>
    <w:rsid w:val="001803EF"/>
    <w:rsid w:val="00180537"/>
    <w:rsid w:val="0018083F"/>
    <w:rsid w:val="0018106C"/>
    <w:rsid w:val="00181D4B"/>
    <w:rsid w:val="00182625"/>
    <w:rsid w:val="00183C62"/>
    <w:rsid w:val="00183E46"/>
    <w:rsid w:val="0018433F"/>
    <w:rsid w:val="00184569"/>
    <w:rsid w:val="0018458B"/>
    <w:rsid w:val="00185583"/>
    <w:rsid w:val="00185878"/>
    <w:rsid w:val="00185B69"/>
    <w:rsid w:val="00185CC7"/>
    <w:rsid w:val="00185CE5"/>
    <w:rsid w:val="001860CB"/>
    <w:rsid w:val="001862E6"/>
    <w:rsid w:val="001863D0"/>
    <w:rsid w:val="001864EC"/>
    <w:rsid w:val="00186D0E"/>
    <w:rsid w:val="00187F52"/>
    <w:rsid w:val="00187F75"/>
    <w:rsid w:val="00190367"/>
    <w:rsid w:val="0019051A"/>
    <w:rsid w:val="00190736"/>
    <w:rsid w:val="00190A95"/>
    <w:rsid w:val="001914B7"/>
    <w:rsid w:val="00191958"/>
    <w:rsid w:val="00191D09"/>
    <w:rsid w:val="001929FA"/>
    <w:rsid w:val="00192C3D"/>
    <w:rsid w:val="0019327A"/>
    <w:rsid w:val="00193495"/>
    <w:rsid w:val="00193753"/>
    <w:rsid w:val="00194336"/>
    <w:rsid w:val="00194E53"/>
    <w:rsid w:val="00194FB6"/>
    <w:rsid w:val="0019544E"/>
    <w:rsid w:val="00195701"/>
    <w:rsid w:val="001957FC"/>
    <w:rsid w:val="001960E8"/>
    <w:rsid w:val="00196927"/>
    <w:rsid w:val="00196A60"/>
    <w:rsid w:val="00196B82"/>
    <w:rsid w:val="00196F7C"/>
    <w:rsid w:val="00197A4A"/>
    <w:rsid w:val="00197E85"/>
    <w:rsid w:val="001A00CC"/>
    <w:rsid w:val="001A0667"/>
    <w:rsid w:val="001A0A3F"/>
    <w:rsid w:val="001A0D2B"/>
    <w:rsid w:val="001A1F0D"/>
    <w:rsid w:val="001A214A"/>
    <w:rsid w:val="001A2203"/>
    <w:rsid w:val="001A26E9"/>
    <w:rsid w:val="001A27EC"/>
    <w:rsid w:val="001A295E"/>
    <w:rsid w:val="001A2A69"/>
    <w:rsid w:val="001A2CCA"/>
    <w:rsid w:val="001A2E17"/>
    <w:rsid w:val="001A34D0"/>
    <w:rsid w:val="001A4231"/>
    <w:rsid w:val="001A4462"/>
    <w:rsid w:val="001A473A"/>
    <w:rsid w:val="001A5670"/>
    <w:rsid w:val="001A5696"/>
    <w:rsid w:val="001A57CD"/>
    <w:rsid w:val="001A6247"/>
    <w:rsid w:val="001A652B"/>
    <w:rsid w:val="001A67B3"/>
    <w:rsid w:val="001A68CF"/>
    <w:rsid w:val="001A6991"/>
    <w:rsid w:val="001A6CFD"/>
    <w:rsid w:val="001A6D0F"/>
    <w:rsid w:val="001A6EA0"/>
    <w:rsid w:val="001A7084"/>
    <w:rsid w:val="001A71B6"/>
    <w:rsid w:val="001A7512"/>
    <w:rsid w:val="001A75D5"/>
    <w:rsid w:val="001B0EF8"/>
    <w:rsid w:val="001B11FA"/>
    <w:rsid w:val="001B155A"/>
    <w:rsid w:val="001B1C6C"/>
    <w:rsid w:val="001B1FC4"/>
    <w:rsid w:val="001B1FC6"/>
    <w:rsid w:val="001B21FC"/>
    <w:rsid w:val="001B2506"/>
    <w:rsid w:val="001B28E3"/>
    <w:rsid w:val="001B2EF4"/>
    <w:rsid w:val="001B3006"/>
    <w:rsid w:val="001B32FB"/>
    <w:rsid w:val="001B33A2"/>
    <w:rsid w:val="001B4440"/>
    <w:rsid w:val="001B4490"/>
    <w:rsid w:val="001B44B8"/>
    <w:rsid w:val="001B45C0"/>
    <w:rsid w:val="001B45D6"/>
    <w:rsid w:val="001B5710"/>
    <w:rsid w:val="001B5C6C"/>
    <w:rsid w:val="001B5E11"/>
    <w:rsid w:val="001B5E6B"/>
    <w:rsid w:val="001B6406"/>
    <w:rsid w:val="001B6463"/>
    <w:rsid w:val="001B74F1"/>
    <w:rsid w:val="001B7CF4"/>
    <w:rsid w:val="001B7FA2"/>
    <w:rsid w:val="001C0521"/>
    <w:rsid w:val="001C06AA"/>
    <w:rsid w:val="001C08CC"/>
    <w:rsid w:val="001C08FC"/>
    <w:rsid w:val="001C0E94"/>
    <w:rsid w:val="001C12C2"/>
    <w:rsid w:val="001C1799"/>
    <w:rsid w:val="001C1C14"/>
    <w:rsid w:val="001C2028"/>
    <w:rsid w:val="001C437E"/>
    <w:rsid w:val="001C47C1"/>
    <w:rsid w:val="001C50EC"/>
    <w:rsid w:val="001C5E3B"/>
    <w:rsid w:val="001C65BC"/>
    <w:rsid w:val="001C6BB2"/>
    <w:rsid w:val="001C7016"/>
    <w:rsid w:val="001C7FDF"/>
    <w:rsid w:val="001D03A8"/>
    <w:rsid w:val="001D0B8A"/>
    <w:rsid w:val="001D148C"/>
    <w:rsid w:val="001D157E"/>
    <w:rsid w:val="001D245B"/>
    <w:rsid w:val="001D2CF6"/>
    <w:rsid w:val="001D3138"/>
    <w:rsid w:val="001D3311"/>
    <w:rsid w:val="001D3807"/>
    <w:rsid w:val="001D3882"/>
    <w:rsid w:val="001D3BC3"/>
    <w:rsid w:val="001D3BE6"/>
    <w:rsid w:val="001D3C5F"/>
    <w:rsid w:val="001D4438"/>
    <w:rsid w:val="001D46D6"/>
    <w:rsid w:val="001D4C77"/>
    <w:rsid w:val="001D5178"/>
    <w:rsid w:val="001D52E1"/>
    <w:rsid w:val="001D5496"/>
    <w:rsid w:val="001D5655"/>
    <w:rsid w:val="001D5771"/>
    <w:rsid w:val="001D5B62"/>
    <w:rsid w:val="001D69D8"/>
    <w:rsid w:val="001D6C2D"/>
    <w:rsid w:val="001D75FF"/>
    <w:rsid w:val="001D76D7"/>
    <w:rsid w:val="001D7E96"/>
    <w:rsid w:val="001D7E9A"/>
    <w:rsid w:val="001D7FD8"/>
    <w:rsid w:val="001E0487"/>
    <w:rsid w:val="001E04B4"/>
    <w:rsid w:val="001E057A"/>
    <w:rsid w:val="001E07BC"/>
    <w:rsid w:val="001E0B09"/>
    <w:rsid w:val="001E0DB3"/>
    <w:rsid w:val="001E0EF9"/>
    <w:rsid w:val="001E1B80"/>
    <w:rsid w:val="001E1E07"/>
    <w:rsid w:val="001E29B2"/>
    <w:rsid w:val="001E2C1B"/>
    <w:rsid w:val="001E3423"/>
    <w:rsid w:val="001E3627"/>
    <w:rsid w:val="001E3F32"/>
    <w:rsid w:val="001E4849"/>
    <w:rsid w:val="001E4B9C"/>
    <w:rsid w:val="001E4C44"/>
    <w:rsid w:val="001E4E07"/>
    <w:rsid w:val="001E4E2B"/>
    <w:rsid w:val="001E5507"/>
    <w:rsid w:val="001E676B"/>
    <w:rsid w:val="001E685C"/>
    <w:rsid w:val="001E6CBD"/>
    <w:rsid w:val="001E772E"/>
    <w:rsid w:val="001F0275"/>
    <w:rsid w:val="001F0F0B"/>
    <w:rsid w:val="001F171A"/>
    <w:rsid w:val="001F1ADA"/>
    <w:rsid w:val="001F1E45"/>
    <w:rsid w:val="001F1F26"/>
    <w:rsid w:val="001F1FAF"/>
    <w:rsid w:val="001F2549"/>
    <w:rsid w:val="001F29F0"/>
    <w:rsid w:val="001F2E3B"/>
    <w:rsid w:val="001F2F2E"/>
    <w:rsid w:val="001F3A1E"/>
    <w:rsid w:val="001F3BA0"/>
    <w:rsid w:val="001F3BB8"/>
    <w:rsid w:val="001F3C6C"/>
    <w:rsid w:val="001F4CFB"/>
    <w:rsid w:val="001F4ED3"/>
    <w:rsid w:val="001F5224"/>
    <w:rsid w:val="001F5294"/>
    <w:rsid w:val="001F59D1"/>
    <w:rsid w:val="001F5F83"/>
    <w:rsid w:val="001F679A"/>
    <w:rsid w:val="001F6C88"/>
    <w:rsid w:val="001F77B0"/>
    <w:rsid w:val="001F7B1C"/>
    <w:rsid w:val="002002B7"/>
    <w:rsid w:val="0020081C"/>
    <w:rsid w:val="00200C28"/>
    <w:rsid w:val="00200D0E"/>
    <w:rsid w:val="00200D94"/>
    <w:rsid w:val="00200FF5"/>
    <w:rsid w:val="002010FC"/>
    <w:rsid w:val="002015F1"/>
    <w:rsid w:val="00201705"/>
    <w:rsid w:val="0020175D"/>
    <w:rsid w:val="002017B7"/>
    <w:rsid w:val="0020184E"/>
    <w:rsid w:val="00201ECE"/>
    <w:rsid w:val="00202057"/>
    <w:rsid w:val="002029A5"/>
    <w:rsid w:val="00202AC3"/>
    <w:rsid w:val="00203076"/>
    <w:rsid w:val="00203120"/>
    <w:rsid w:val="002050D8"/>
    <w:rsid w:val="00205680"/>
    <w:rsid w:val="00205C2F"/>
    <w:rsid w:val="00205F7B"/>
    <w:rsid w:val="0020690D"/>
    <w:rsid w:val="00206B39"/>
    <w:rsid w:val="0020751B"/>
    <w:rsid w:val="00207CBC"/>
    <w:rsid w:val="00207DE9"/>
    <w:rsid w:val="00210198"/>
    <w:rsid w:val="00212253"/>
    <w:rsid w:val="002123A9"/>
    <w:rsid w:val="002124A0"/>
    <w:rsid w:val="002125F6"/>
    <w:rsid w:val="0021286F"/>
    <w:rsid w:val="0021358F"/>
    <w:rsid w:val="00213A37"/>
    <w:rsid w:val="00213C4A"/>
    <w:rsid w:val="00213DF1"/>
    <w:rsid w:val="00213EE0"/>
    <w:rsid w:val="0021433F"/>
    <w:rsid w:val="0021464F"/>
    <w:rsid w:val="00214731"/>
    <w:rsid w:val="00214B1B"/>
    <w:rsid w:val="002157FB"/>
    <w:rsid w:val="002158F3"/>
    <w:rsid w:val="0021612C"/>
    <w:rsid w:val="00216922"/>
    <w:rsid w:val="00216963"/>
    <w:rsid w:val="002169E9"/>
    <w:rsid w:val="00216D17"/>
    <w:rsid w:val="00217523"/>
    <w:rsid w:val="002175DD"/>
    <w:rsid w:val="00217D5B"/>
    <w:rsid w:val="00220409"/>
    <w:rsid w:val="00220731"/>
    <w:rsid w:val="00220E16"/>
    <w:rsid w:val="00221604"/>
    <w:rsid w:val="00221C11"/>
    <w:rsid w:val="00222AAD"/>
    <w:rsid w:val="00222DE8"/>
    <w:rsid w:val="00222F98"/>
    <w:rsid w:val="00223EE5"/>
    <w:rsid w:val="00224339"/>
    <w:rsid w:val="0022444C"/>
    <w:rsid w:val="002253D0"/>
    <w:rsid w:val="00225B1A"/>
    <w:rsid w:val="00225B6A"/>
    <w:rsid w:val="00225BE0"/>
    <w:rsid w:val="00225C64"/>
    <w:rsid w:val="00226733"/>
    <w:rsid w:val="00226C13"/>
    <w:rsid w:val="00226F24"/>
    <w:rsid w:val="00226F69"/>
    <w:rsid w:val="002305C2"/>
    <w:rsid w:val="002312AC"/>
    <w:rsid w:val="00231D10"/>
    <w:rsid w:val="002324E4"/>
    <w:rsid w:val="00232588"/>
    <w:rsid w:val="00232795"/>
    <w:rsid w:val="00232A45"/>
    <w:rsid w:val="002335D6"/>
    <w:rsid w:val="00233B64"/>
    <w:rsid w:val="00234536"/>
    <w:rsid w:val="002352D0"/>
    <w:rsid w:val="00235D07"/>
    <w:rsid w:val="00236465"/>
    <w:rsid w:val="002370FF"/>
    <w:rsid w:val="00237350"/>
    <w:rsid w:val="002373BE"/>
    <w:rsid w:val="00237546"/>
    <w:rsid w:val="002379C2"/>
    <w:rsid w:val="00237FF2"/>
    <w:rsid w:val="00240880"/>
    <w:rsid w:val="00240A1E"/>
    <w:rsid w:val="00240C7E"/>
    <w:rsid w:val="00241774"/>
    <w:rsid w:val="002419FB"/>
    <w:rsid w:val="0024245C"/>
    <w:rsid w:val="0024268C"/>
    <w:rsid w:val="00242808"/>
    <w:rsid w:val="002429D9"/>
    <w:rsid w:val="00242AA4"/>
    <w:rsid w:val="00242C35"/>
    <w:rsid w:val="0024307B"/>
    <w:rsid w:val="00243356"/>
    <w:rsid w:val="002435C9"/>
    <w:rsid w:val="002436E0"/>
    <w:rsid w:val="00243BD0"/>
    <w:rsid w:val="002441C0"/>
    <w:rsid w:val="002443DD"/>
    <w:rsid w:val="00244A4F"/>
    <w:rsid w:val="00244C6C"/>
    <w:rsid w:val="00244CB1"/>
    <w:rsid w:val="00244D06"/>
    <w:rsid w:val="002452A5"/>
    <w:rsid w:val="00245AE8"/>
    <w:rsid w:val="00245D4C"/>
    <w:rsid w:val="00246B2F"/>
    <w:rsid w:val="00246EEE"/>
    <w:rsid w:val="002473C5"/>
    <w:rsid w:val="002478B4"/>
    <w:rsid w:val="00250902"/>
    <w:rsid w:val="00250C89"/>
    <w:rsid w:val="00251769"/>
    <w:rsid w:val="00251982"/>
    <w:rsid w:val="00252561"/>
    <w:rsid w:val="00252A9C"/>
    <w:rsid w:val="002540AF"/>
    <w:rsid w:val="00254331"/>
    <w:rsid w:val="0025537C"/>
    <w:rsid w:val="002553D2"/>
    <w:rsid w:val="002555F4"/>
    <w:rsid w:val="0025620F"/>
    <w:rsid w:val="002564CC"/>
    <w:rsid w:val="00256BCB"/>
    <w:rsid w:val="002571E2"/>
    <w:rsid w:val="002579FD"/>
    <w:rsid w:val="0026022D"/>
    <w:rsid w:val="00260366"/>
    <w:rsid w:val="002604A3"/>
    <w:rsid w:val="00260B9A"/>
    <w:rsid w:val="00260F6E"/>
    <w:rsid w:val="0026110F"/>
    <w:rsid w:val="00261E28"/>
    <w:rsid w:val="002624F3"/>
    <w:rsid w:val="00262663"/>
    <w:rsid w:val="00262C47"/>
    <w:rsid w:val="002631CB"/>
    <w:rsid w:val="002632A8"/>
    <w:rsid w:val="002635A6"/>
    <w:rsid w:val="002636C3"/>
    <w:rsid w:val="00263A73"/>
    <w:rsid w:val="00263EE3"/>
    <w:rsid w:val="0026432E"/>
    <w:rsid w:val="00264364"/>
    <w:rsid w:val="00264395"/>
    <w:rsid w:val="00264A6F"/>
    <w:rsid w:val="00264D98"/>
    <w:rsid w:val="00265DB9"/>
    <w:rsid w:val="00265DD7"/>
    <w:rsid w:val="0026632B"/>
    <w:rsid w:val="002676DA"/>
    <w:rsid w:val="00267CE1"/>
    <w:rsid w:val="00267EDB"/>
    <w:rsid w:val="00270EE7"/>
    <w:rsid w:val="00270F9B"/>
    <w:rsid w:val="00271354"/>
    <w:rsid w:val="00271804"/>
    <w:rsid w:val="00271EB3"/>
    <w:rsid w:val="002724F9"/>
    <w:rsid w:val="0027297C"/>
    <w:rsid w:val="00272E66"/>
    <w:rsid w:val="00273184"/>
    <w:rsid w:val="002741D2"/>
    <w:rsid w:val="00274313"/>
    <w:rsid w:val="002746BF"/>
    <w:rsid w:val="00274CA8"/>
    <w:rsid w:val="002750ED"/>
    <w:rsid w:val="00275516"/>
    <w:rsid w:val="002758C1"/>
    <w:rsid w:val="00275B8B"/>
    <w:rsid w:val="00275FA3"/>
    <w:rsid w:val="002764C3"/>
    <w:rsid w:val="00276641"/>
    <w:rsid w:val="00276733"/>
    <w:rsid w:val="00276FD5"/>
    <w:rsid w:val="002777F2"/>
    <w:rsid w:val="002808D7"/>
    <w:rsid w:val="00281579"/>
    <w:rsid w:val="002820D9"/>
    <w:rsid w:val="002828FC"/>
    <w:rsid w:val="002830CC"/>
    <w:rsid w:val="00283226"/>
    <w:rsid w:val="002834DA"/>
    <w:rsid w:val="002839E6"/>
    <w:rsid w:val="00285231"/>
    <w:rsid w:val="0028583D"/>
    <w:rsid w:val="002858B8"/>
    <w:rsid w:val="002865A8"/>
    <w:rsid w:val="002871AB"/>
    <w:rsid w:val="0028771F"/>
    <w:rsid w:val="002877D8"/>
    <w:rsid w:val="00287E79"/>
    <w:rsid w:val="00290778"/>
    <w:rsid w:val="00290AE1"/>
    <w:rsid w:val="00290C09"/>
    <w:rsid w:val="002916D2"/>
    <w:rsid w:val="002919D3"/>
    <w:rsid w:val="00291B24"/>
    <w:rsid w:val="00291BC0"/>
    <w:rsid w:val="00291D9E"/>
    <w:rsid w:val="00292704"/>
    <w:rsid w:val="002935BE"/>
    <w:rsid w:val="00293B35"/>
    <w:rsid w:val="00294507"/>
    <w:rsid w:val="002950B8"/>
    <w:rsid w:val="00295336"/>
    <w:rsid w:val="00295550"/>
    <w:rsid w:val="00295776"/>
    <w:rsid w:val="00295894"/>
    <w:rsid w:val="00296542"/>
    <w:rsid w:val="00296599"/>
    <w:rsid w:val="00296C09"/>
    <w:rsid w:val="00297642"/>
    <w:rsid w:val="002A0730"/>
    <w:rsid w:val="002A08C0"/>
    <w:rsid w:val="002A0FEE"/>
    <w:rsid w:val="002A157B"/>
    <w:rsid w:val="002A1FA5"/>
    <w:rsid w:val="002A2199"/>
    <w:rsid w:val="002A2B74"/>
    <w:rsid w:val="002A423B"/>
    <w:rsid w:val="002A455A"/>
    <w:rsid w:val="002A5BD4"/>
    <w:rsid w:val="002A5D06"/>
    <w:rsid w:val="002A62C2"/>
    <w:rsid w:val="002A6B50"/>
    <w:rsid w:val="002A6E52"/>
    <w:rsid w:val="002B0505"/>
    <w:rsid w:val="002B053B"/>
    <w:rsid w:val="002B0737"/>
    <w:rsid w:val="002B0BD8"/>
    <w:rsid w:val="002B116D"/>
    <w:rsid w:val="002B1390"/>
    <w:rsid w:val="002B1652"/>
    <w:rsid w:val="002B1C79"/>
    <w:rsid w:val="002B2366"/>
    <w:rsid w:val="002B27C7"/>
    <w:rsid w:val="002B2D4E"/>
    <w:rsid w:val="002B318A"/>
    <w:rsid w:val="002B35B2"/>
    <w:rsid w:val="002B3E03"/>
    <w:rsid w:val="002B40E2"/>
    <w:rsid w:val="002B48E6"/>
    <w:rsid w:val="002B4C68"/>
    <w:rsid w:val="002B4E36"/>
    <w:rsid w:val="002B4E7D"/>
    <w:rsid w:val="002B515D"/>
    <w:rsid w:val="002B5644"/>
    <w:rsid w:val="002B56C8"/>
    <w:rsid w:val="002B589B"/>
    <w:rsid w:val="002B5B3B"/>
    <w:rsid w:val="002B71FF"/>
    <w:rsid w:val="002B7B4B"/>
    <w:rsid w:val="002C0048"/>
    <w:rsid w:val="002C029D"/>
    <w:rsid w:val="002C140B"/>
    <w:rsid w:val="002C19AB"/>
    <w:rsid w:val="002C2D4E"/>
    <w:rsid w:val="002C2F28"/>
    <w:rsid w:val="002C41B3"/>
    <w:rsid w:val="002C4392"/>
    <w:rsid w:val="002C4A1F"/>
    <w:rsid w:val="002C4A2B"/>
    <w:rsid w:val="002C4A63"/>
    <w:rsid w:val="002C5208"/>
    <w:rsid w:val="002C5815"/>
    <w:rsid w:val="002C602C"/>
    <w:rsid w:val="002C6937"/>
    <w:rsid w:val="002C72A9"/>
    <w:rsid w:val="002C7F96"/>
    <w:rsid w:val="002D033E"/>
    <w:rsid w:val="002D04E1"/>
    <w:rsid w:val="002D141B"/>
    <w:rsid w:val="002D1967"/>
    <w:rsid w:val="002D19B1"/>
    <w:rsid w:val="002D1CE1"/>
    <w:rsid w:val="002D1FF4"/>
    <w:rsid w:val="002D2320"/>
    <w:rsid w:val="002D2F63"/>
    <w:rsid w:val="002D30AC"/>
    <w:rsid w:val="002D31C7"/>
    <w:rsid w:val="002D32DE"/>
    <w:rsid w:val="002D3916"/>
    <w:rsid w:val="002D493F"/>
    <w:rsid w:val="002D4D1F"/>
    <w:rsid w:val="002D501A"/>
    <w:rsid w:val="002D520E"/>
    <w:rsid w:val="002D5841"/>
    <w:rsid w:val="002D6060"/>
    <w:rsid w:val="002D6675"/>
    <w:rsid w:val="002D6E38"/>
    <w:rsid w:val="002D75D8"/>
    <w:rsid w:val="002D7B6F"/>
    <w:rsid w:val="002E01F0"/>
    <w:rsid w:val="002E0C91"/>
    <w:rsid w:val="002E100D"/>
    <w:rsid w:val="002E10B9"/>
    <w:rsid w:val="002E129D"/>
    <w:rsid w:val="002E298B"/>
    <w:rsid w:val="002E2B68"/>
    <w:rsid w:val="002E325A"/>
    <w:rsid w:val="002E3A3F"/>
    <w:rsid w:val="002E3C25"/>
    <w:rsid w:val="002E3C91"/>
    <w:rsid w:val="002E3F1E"/>
    <w:rsid w:val="002E3FA5"/>
    <w:rsid w:val="002E40F7"/>
    <w:rsid w:val="002E4237"/>
    <w:rsid w:val="002E467B"/>
    <w:rsid w:val="002E487B"/>
    <w:rsid w:val="002E5427"/>
    <w:rsid w:val="002E5BB0"/>
    <w:rsid w:val="002E5BB9"/>
    <w:rsid w:val="002E6029"/>
    <w:rsid w:val="002E61ED"/>
    <w:rsid w:val="002E6858"/>
    <w:rsid w:val="002E6E72"/>
    <w:rsid w:val="002E7764"/>
    <w:rsid w:val="002E7D3D"/>
    <w:rsid w:val="002F00E4"/>
    <w:rsid w:val="002F095C"/>
    <w:rsid w:val="002F0B1E"/>
    <w:rsid w:val="002F1199"/>
    <w:rsid w:val="002F1716"/>
    <w:rsid w:val="002F19D3"/>
    <w:rsid w:val="002F227C"/>
    <w:rsid w:val="002F2C66"/>
    <w:rsid w:val="002F2D5D"/>
    <w:rsid w:val="002F2F03"/>
    <w:rsid w:val="002F373C"/>
    <w:rsid w:val="002F39CB"/>
    <w:rsid w:val="002F3E60"/>
    <w:rsid w:val="002F412B"/>
    <w:rsid w:val="002F47D0"/>
    <w:rsid w:val="002F517E"/>
    <w:rsid w:val="002F52A9"/>
    <w:rsid w:val="002F6EEC"/>
    <w:rsid w:val="002F7064"/>
    <w:rsid w:val="002F7173"/>
    <w:rsid w:val="002F7834"/>
    <w:rsid w:val="002F7B89"/>
    <w:rsid w:val="00300CCF"/>
    <w:rsid w:val="003015CC"/>
    <w:rsid w:val="00301790"/>
    <w:rsid w:val="00301911"/>
    <w:rsid w:val="00301E75"/>
    <w:rsid w:val="00302D7C"/>
    <w:rsid w:val="003036D0"/>
    <w:rsid w:val="00303703"/>
    <w:rsid w:val="003045A7"/>
    <w:rsid w:val="003045AB"/>
    <w:rsid w:val="00304614"/>
    <w:rsid w:val="00305074"/>
    <w:rsid w:val="00305127"/>
    <w:rsid w:val="0030539C"/>
    <w:rsid w:val="00305869"/>
    <w:rsid w:val="00305A29"/>
    <w:rsid w:val="00305C36"/>
    <w:rsid w:val="0030622B"/>
    <w:rsid w:val="00306249"/>
    <w:rsid w:val="0030683F"/>
    <w:rsid w:val="003068C8"/>
    <w:rsid w:val="00306C61"/>
    <w:rsid w:val="00306C9F"/>
    <w:rsid w:val="003079BF"/>
    <w:rsid w:val="00307A84"/>
    <w:rsid w:val="00307E09"/>
    <w:rsid w:val="00310186"/>
    <w:rsid w:val="00310A8E"/>
    <w:rsid w:val="003110AE"/>
    <w:rsid w:val="00312047"/>
    <w:rsid w:val="003120DD"/>
    <w:rsid w:val="00312233"/>
    <w:rsid w:val="00312848"/>
    <w:rsid w:val="00312AFA"/>
    <w:rsid w:val="00313485"/>
    <w:rsid w:val="00313676"/>
    <w:rsid w:val="00313BF3"/>
    <w:rsid w:val="003143D4"/>
    <w:rsid w:val="00314A49"/>
    <w:rsid w:val="00314C8B"/>
    <w:rsid w:val="003150F8"/>
    <w:rsid w:val="003151AD"/>
    <w:rsid w:val="00315540"/>
    <w:rsid w:val="00315CCD"/>
    <w:rsid w:val="0031630B"/>
    <w:rsid w:val="00316609"/>
    <w:rsid w:val="00316E7D"/>
    <w:rsid w:val="00317AD8"/>
    <w:rsid w:val="00320221"/>
    <w:rsid w:val="00320B01"/>
    <w:rsid w:val="003210F6"/>
    <w:rsid w:val="00321362"/>
    <w:rsid w:val="003214EE"/>
    <w:rsid w:val="00321704"/>
    <w:rsid w:val="0032177F"/>
    <w:rsid w:val="0032190C"/>
    <w:rsid w:val="00321EC3"/>
    <w:rsid w:val="00321F24"/>
    <w:rsid w:val="00322511"/>
    <w:rsid w:val="003226CF"/>
    <w:rsid w:val="003227CF"/>
    <w:rsid w:val="00322B83"/>
    <w:rsid w:val="00322EA1"/>
    <w:rsid w:val="00322F2D"/>
    <w:rsid w:val="003230C8"/>
    <w:rsid w:val="00323532"/>
    <w:rsid w:val="003235B8"/>
    <w:rsid w:val="00323696"/>
    <w:rsid w:val="00323D1E"/>
    <w:rsid w:val="003248B8"/>
    <w:rsid w:val="003248CE"/>
    <w:rsid w:val="0032506B"/>
    <w:rsid w:val="0032528B"/>
    <w:rsid w:val="00325BC1"/>
    <w:rsid w:val="0032696B"/>
    <w:rsid w:val="003275FA"/>
    <w:rsid w:val="00327FEF"/>
    <w:rsid w:val="00330681"/>
    <w:rsid w:val="00330BA9"/>
    <w:rsid w:val="00330EE2"/>
    <w:rsid w:val="00330F70"/>
    <w:rsid w:val="00331149"/>
    <w:rsid w:val="0033164F"/>
    <w:rsid w:val="0033169D"/>
    <w:rsid w:val="00331758"/>
    <w:rsid w:val="00331907"/>
    <w:rsid w:val="003327EF"/>
    <w:rsid w:val="00332D0D"/>
    <w:rsid w:val="00332F7B"/>
    <w:rsid w:val="00332F9D"/>
    <w:rsid w:val="0033319B"/>
    <w:rsid w:val="00333895"/>
    <w:rsid w:val="0033449E"/>
    <w:rsid w:val="00334FAC"/>
    <w:rsid w:val="003355E5"/>
    <w:rsid w:val="00335DF0"/>
    <w:rsid w:val="00336CC3"/>
    <w:rsid w:val="00336EE0"/>
    <w:rsid w:val="00336F26"/>
    <w:rsid w:val="00337DA7"/>
    <w:rsid w:val="00340C75"/>
    <w:rsid w:val="003412BE"/>
    <w:rsid w:val="0034135A"/>
    <w:rsid w:val="00341893"/>
    <w:rsid w:val="003419C5"/>
    <w:rsid w:val="00341BA7"/>
    <w:rsid w:val="00341DD9"/>
    <w:rsid w:val="00342E78"/>
    <w:rsid w:val="0034315B"/>
    <w:rsid w:val="00343237"/>
    <w:rsid w:val="0034350A"/>
    <w:rsid w:val="00343E24"/>
    <w:rsid w:val="003447BE"/>
    <w:rsid w:val="00344891"/>
    <w:rsid w:val="00344D57"/>
    <w:rsid w:val="0034502B"/>
    <w:rsid w:val="00345310"/>
    <w:rsid w:val="0034541A"/>
    <w:rsid w:val="003454BB"/>
    <w:rsid w:val="003456F0"/>
    <w:rsid w:val="00345ADF"/>
    <w:rsid w:val="003469FA"/>
    <w:rsid w:val="00346CF2"/>
    <w:rsid w:val="003470FF"/>
    <w:rsid w:val="00347E8D"/>
    <w:rsid w:val="00350057"/>
    <w:rsid w:val="00350120"/>
    <w:rsid w:val="00350586"/>
    <w:rsid w:val="00350614"/>
    <w:rsid w:val="00350C0B"/>
    <w:rsid w:val="00351431"/>
    <w:rsid w:val="003524D7"/>
    <w:rsid w:val="003526DD"/>
    <w:rsid w:val="003531DE"/>
    <w:rsid w:val="003535FE"/>
    <w:rsid w:val="003536EC"/>
    <w:rsid w:val="003541CA"/>
    <w:rsid w:val="00354746"/>
    <w:rsid w:val="00355157"/>
    <w:rsid w:val="0035537B"/>
    <w:rsid w:val="003554E2"/>
    <w:rsid w:val="0035557E"/>
    <w:rsid w:val="00355DBF"/>
    <w:rsid w:val="00355F01"/>
    <w:rsid w:val="00356089"/>
    <w:rsid w:val="00356390"/>
    <w:rsid w:val="0035642B"/>
    <w:rsid w:val="00356935"/>
    <w:rsid w:val="00356BDD"/>
    <w:rsid w:val="0035700C"/>
    <w:rsid w:val="003572AD"/>
    <w:rsid w:val="00357DE5"/>
    <w:rsid w:val="00360411"/>
    <w:rsid w:val="00360664"/>
    <w:rsid w:val="00360978"/>
    <w:rsid w:val="00360985"/>
    <w:rsid w:val="00360999"/>
    <w:rsid w:val="00360CEA"/>
    <w:rsid w:val="00360E10"/>
    <w:rsid w:val="003612C6"/>
    <w:rsid w:val="003618EA"/>
    <w:rsid w:val="00361DE7"/>
    <w:rsid w:val="00362774"/>
    <w:rsid w:val="00362B18"/>
    <w:rsid w:val="00362DAF"/>
    <w:rsid w:val="00362FC7"/>
    <w:rsid w:val="0036326E"/>
    <w:rsid w:val="003637FD"/>
    <w:rsid w:val="003638C4"/>
    <w:rsid w:val="00363905"/>
    <w:rsid w:val="00363C8E"/>
    <w:rsid w:val="0036458F"/>
    <w:rsid w:val="00364B10"/>
    <w:rsid w:val="00364B99"/>
    <w:rsid w:val="00364E90"/>
    <w:rsid w:val="003653E9"/>
    <w:rsid w:val="003657CC"/>
    <w:rsid w:val="0036589F"/>
    <w:rsid w:val="003663A7"/>
    <w:rsid w:val="00366F5D"/>
    <w:rsid w:val="00367466"/>
    <w:rsid w:val="00367D5A"/>
    <w:rsid w:val="00367E92"/>
    <w:rsid w:val="003705FF"/>
    <w:rsid w:val="00370B93"/>
    <w:rsid w:val="00371070"/>
    <w:rsid w:val="003713B1"/>
    <w:rsid w:val="0037141C"/>
    <w:rsid w:val="0037143C"/>
    <w:rsid w:val="00371A72"/>
    <w:rsid w:val="00371E30"/>
    <w:rsid w:val="003721C9"/>
    <w:rsid w:val="00372223"/>
    <w:rsid w:val="0037285E"/>
    <w:rsid w:val="0037296E"/>
    <w:rsid w:val="0037366A"/>
    <w:rsid w:val="00373A9C"/>
    <w:rsid w:val="00373EC2"/>
    <w:rsid w:val="00374227"/>
    <w:rsid w:val="00374A43"/>
    <w:rsid w:val="00375086"/>
    <w:rsid w:val="00375585"/>
    <w:rsid w:val="0037582B"/>
    <w:rsid w:val="00375C4A"/>
    <w:rsid w:val="00375E27"/>
    <w:rsid w:val="00375F18"/>
    <w:rsid w:val="003765B8"/>
    <w:rsid w:val="003768CA"/>
    <w:rsid w:val="00377833"/>
    <w:rsid w:val="003778C3"/>
    <w:rsid w:val="003800CD"/>
    <w:rsid w:val="0038025B"/>
    <w:rsid w:val="0038053D"/>
    <w:rsid w:val="003806ED"/>
    <w:rsid w:val="00380E6C"/>
    <w:rsid w:val="00381044"/>
    <w:rsid w:val="0038186B"/>
    <w:rsid w:val="00381E64"/>
    <w:rsid w:val="00381ED2"/>
    <w:rsid w:val="003833CE"/>
    <w:rsid w:val="00383C46"/>
    <w:rsid w:val="0038446B"/>
    <w:rsid w:val="00385375"/>
    <w:rsid w:val="003854CF"/>
    <w:rsid w:val="00385561"/>
    <w:rsid w:val="00385B12"/>
    <w:rsid w:val="00385DF0"/>
    <w:rsid w:val="00386120"/>
    <w:rsid w:val="00387471"/>
    <w:rsid w:val="00387E96"/>
    <w:rsid w:val="00387ED3"/>
    <w:rsid w:val="00391393"/>
    <w:rsid w:val="00391AA9"/>
    <w:rsid w:val="00391D93"/>
    <w:rsid w:val="0039293C"/>
    <w:rsid w:val="00392AE9"/>
    <w:rsid w:val="003931EA"/>
    <w:rsid w:val="003933E9"/>
    <w:rsid w:val="003935C1"/>
    <w:rsid w:val="00393C96"/>
    <w:rsid w:val="00393ED7"/>
    <w:rsid w:val="0039456A"/>
    <w:rsid w:val="003947E3"/>
    <w:rsid w:val="00394BA5"/>
    <w:rsid w:val="00395696"/>
    <w:rsid w:val="00395AB9"/>
    <w:rsid w:val="00396226"/>
    <w:rsid w:val="0039626E"/>
    <w:rsid w:val="00397575"/>
    <w:rsid w:val="003A02F1"/>
    <w:rsid w:val="003A0C22"/>
    <w:rsid w:val="003A10D3"/>
    <w:rsid w:val="003A1522"/>
    <w:rsid w:val="003A1682"/>
    <w:rsid w:val="003A1791"/>
    <w:rsid w:val="003A17E8"/>
    <w:rsid w:val="003A2099"/>
    <w:rsid w:val="003A2218"/>
    <w:rsid w:val="003A2F10"/>
    <w:rsid w:val="003A3155"/>
    <w:rsid w:val="003A340D"/>
    <w:rsid w:val="003A3753"/>
    <w:rsid w:val="003A3C03"/>
    <w:rsid w:val="003A3E46"/>
    <w:rsid w:val="003A3F7F"/>
    <w:rsid w:val="003A4775"/>
    <w:rsid w:val="003A4D48"/>
    <w:rsid w:val="003A4E23"/>
    <w:rsid w:val="003A4E37"/>
    <w:rsid w:val="003A58E8"/>
    <w:rsid w:val="003A5A62"/>
    <w:rsid w:val="003A6DF8"/>
    <w:rsid w:val="003A732A"/>
    <w:rsid w:val="003A733C"/>
    <w:rsid w:val="003A745E"/>
    <w:rsid w:val="003A7813"/>
    <w:rsid w:val="003A7AD8"/>
    <w:rsid w:val="003A7FD3"/>
    <w:rsid w:val="003B0318"/>
    <w:rsid w:val="003B147D"/>
    <w:rsid w:val="003B2E13"/>
    <w:rsid w:val="003B370F"/>
    <w:rsid w:val="003B3C54"/>
    <w:rsid w:val="003B44F0"/>
    <w:rsid w:val="003B4669"/>
    <w:rsid w:val="003B46C2"/>
    <w:rsid w:val="003B5187"/>
    <w:rsid w:val="003B52D9"/>
    <w:rsid w:val="003B5421"/>
    <w:rsid w:val="003B55EC"/>
    <w:rsid w:val="003B5E48"/>
    <w:rsid w:val="003B5F83"/>
    <w:rsid w:val="003B68BA"/>
    <w:rsid w:val="003C06CC"/>
    <w:rsid w:val="003C099A"/>
    <w:rsid w:val="003C0A8C"/>
    <w:rsid w:val="003C0F7E"/>
    <w:rsid w:val="003C141D"/>
    <w:rsid w:val="003C1801"/>
    <w:rsid w:val="003C1B5E"/>
    <w:rsid w:val="003C1C18"/>
    <w:rsid w:val="003C1F48"/>
    <w:rsid w:val="003C2139"/>
    <w:rsid w:val="003C43A2"/>
    <w:rsid w:val="003C47DD"/>
    <w:rsid w:val="003C4B2E"/>
    <w:rsid w:val="003C4EAD"/>
    <w:rsid w:val="003C5B2C"/>
    <w:rsid w:val="003C5C78"/>
    <w:rsid w:val="003C6312"/>
    <w:rsid w:val="003C688A"/>
    <w:rsid w:val="003C69F8"/>
    <w:rsid w:val="003C6AED"/>
    <w:rsid w:val="003C70E4"/>
    <w:rsid w:val="003D0319"/>
    <w:rsid w:val="003D0516"/>
    <w:rsid w:val="003D0596"/>
    <w:rsid w:val="003D07C7"/>
    <w:rsid w:val="003D0B03"/>
    <w:rsid w:val="003D0C7B"/>
    <w:rsid w:val="003D100F"/>
    <w:rsid w:val="003D1C3E"/>
    <w:rsid w:val="003D2B2F"/>
    <w:rsid w:val="003D323B"/>
    <w:rsid w:val="003D34FA"/>
    <w:rsid w:val="003D41CA"/>
    <w:rsid w:val="003D4375"/>
    <w:rsid w:val="003D4631"/>
    <w:rsid w:val="003D4B09"/>
    <w:rsid w:val="003D54A7"/>
    <w:rsid w:val="003D5B96"/>
    <w:rsid w:val="003D5D3C"/>
    <w:rsid w:val="003D73C0"/>
    <w:rsid w:val="003D74B2"/>
    <w:rsid w:val="003D7531"/>
    <w:rsid w:val="003D7E3C"/>
    <w:rsid w:val="003E1081"/>
    <w:rsid w:val="003E1177"/>
    <w:rsid w:val="003E1F10"/>
    <w:rsid w:val="003E1FCA"/>
    <w:rsid w:val="003E334E"/>
    <w:rsid w:val="003E3BD5"/>
    <w:rsid w:val="003E4732"/>
    <w:rsid w:val="003E4B80"/>
    <w:rsid w:val="003E4FC8"/>
    <w:rsid w:val="003E56D8"/>
    <w:rsid w:val="003E5875"/>
    <w:rsid w:val="003E59EC"/>
    <w:rsid w:val="003E5B81"/>
    <w:rsid w:val="003E5D26"/>
    <w:rsid w:val="003E645F"/>
    <w:rsid w:val="003E669D"/>
    <w:rsid w:val="003E6887"/>
    <w:rsid w:val="003E7313"/>
    <w:rsid w:val="003E7638"/>
    <w:rsid w:val="003E799A"/>
    <w:rsid w:val="003E79DA"/>
    <w:rsid w:val="003E7D07"/>
    <w:rsid w:val="003E7EA4"/>
    <w:rsid w:val="003F05EA"/>
    <w:rsid w:val="003F0683"/>
    <w:rsid w:val="003F1588"/>
    <w:rsid w:val="003F19B9"/>
    <w:rsid w:val="003F1ED1"/>
    <w:rsid w:val="003F28C5"/>
    <w:rsid w:val="003F2BE4"/>
    <w:rsid w:val="003F2C8B"/>
    <w:rsid w:val="003F3086"/>
    <w:rsid w:val="003F313E"/>
    <w:rsid w:val="003F3E6B"/>
    <w:rsid w:val="003F4315"/>
    <w:rsid w:val="003F4508"/>
    <w:rsid w:val="003F471F"/>
    <w:rsid w:val="003F4EEF"/>
    <w:rsid w:val="003F5201"/>
    <w:rsid w:val="003F5357"/>
    <w:rsid w:val="003F558A"/>
    <w:rsid w:val="003F5B15"/>
    <w:rsid w:val="003F5D15"/>
    <w:rsid w:val="003F6683"/>
    <w:rsid w:val="003F6911"/>
    <w:rsid w:val="003F6C56"/>
    <w:rsid w:val="003F7E3A"/>
    <w:rsid w:val="003F7EDC"/>
    <w:rsid w:val="00400595"/>
    <w:rsid w:val="00400723"/>
    <w:rsid w:val="0040081B"/>
    <w:rsid w:val="004008F1"/>
    <w:rsid w:val="004009DA"/>
    <w:rsid w:val="004015F3"/>
    <w:rsid w:val="0040198E"/>
    <w:rsid w:val="00401F9E"/>
    <w:rsid w:val="0040215C"/>
    <w:rsid w:val="004024EB"/>
    <w:rsid w:val="004025D3"/>
    <w:rsid w:val="004033D3"/>
    <w:rsid w:val="00403CEA"/>
    <w:rsid w:val="00404CD6"/>
    <w:rsid w:val="00405361"/>
    <w:rsid w:val="00405388"/>
    <w:rsid w:val="004054E9"/>
    <w:rsid w:val="004057A9"/>
    <w:rsid w:val="00405AF4"/>
    <w:rsid w:val="00405D28"/>
    <w:rsid w:val="00405E6E"/>
    <w:rsid w:val="00406B17"/>
    <w:rsid w:val="00406B1D"/>
    <w:rsid w:val="0040711F"/>
    <w:rsid w:val="00410011"/>
    <w:rsid w:val="004100D4"/>
    <w:rsid w:val="0041046C"/>
    <w:rsid w:val="00410C9D"/>
    <w:rsid w:val="00411343"/>
    <w:rsid w:val="00411882"/>
    <w:rsid w:val="00412680"/>
    <w:rsid w:val="00412835"/>
    <w:rsid w:val="004132CD"/>
    <w:rsid w:val="0041351D"/>
    <w:rsid w:val="004144F1"/>
    <w:rsid w:val="0041464B"/>
    <w:rsid w:val="0041490A"/>
    <w:rsid w:val="00414982"/>
    <w:rsid w:val="00414BBA"/>
    <w:rsid w:val="00414D56"/>
    <w:rsid w:val="00415004"/>
    <w:rsid w:val="004152AC"/>
    <w:rsid w:val="0041561F"/>
    <w:rsid w:val="00415C43"/>
    <w:rsid w:val="0041628D"/>
    <w:rsid w:val="00416B4E"/>
    <w:rsid w:val="004173CF"/>
    <w:rsid w:val="004174A9"/>
    <w:rsid w:val="0042001E"/>
    <w:rsid w:val="00420C63"/>
    <w:rsid w:val="00420CFA"/>
    <w:rsid w:val="00420D55"/>
    <w:rsid w:val="00420DDC"/>
    <w:rsid w:val="00421599"/>
    <w:rsid w:val="00421629"/>
    <w:rsid w:val="00422028"/>
    <w:rsid w:val="00422097"/>
    <w:rsid w:val="0042280C"/>
    <w:rsid w:val="0042319C"/>
    <w:rsid w:val="00423566"/>
    <w:rsid w:val="0042380C"/>
    <w:rsid w:val="00423DF9"/>
    <w:rsid w:val="004245D6"/>
    <w:rsid w:val="004248F4"/>
    <w:rsid w:val="00424DB1"/>
    <w:rsid w:val="00424F4D"/>
    <w:rsid w:val="004250F3"/>
    <w:rsid w:val="00425165"/>
    <w:rsid w:val="00425C28"/>
    <w:rsid w:val="00425DEA"/>
    <w:rsid w:val="00426BAC"/>
    <w:rsid w:val="00426BE8"/>
    <w:rsid w:val="00427282"/>
    <w:rsid w:val="0042754F"/>
    <w:rsid w:val="00427839"/>
    <w:rsid w:val="004279E1"/>
    <w:rsid w:val="00427ACB"/>
    <w:rsid w:val="004307BF"/>
    <w:rsid w:val="00430B99"/>
    <w:rsid w:val="004312D4"/>
    <w:rsid w:val="00431403"/>
    <w:rsid w:val="004319E7"/>
    <w:rsid w:val="00432157"/>
    <w:rsid w:val="00432665"/>
    <w:rsid w:val="004327D5"/>
    <w:rsid w:val="004330A3"/>
    <w:rsid w:val="00433681"/>
    <w:rsid w:val="00433B59"/>
    <w:rsid w:val="00433EFB"/>
    <w:rsid w:val="00433F83"/>
    <w:rsid w:val="004346A6"/>
    <w:rsid w:val="004350D7"/>
    <w:rsid w:val="00435AB1"/>
    <w:rsid w:val="00435E5E"/>
    <w:rsid w:val="004363D3"/>
    <w:rsid w:val="00436692"/>
    <w:rsid w:val="00436736"/>
    <w:rsid w:val="0043739B"/>
    <w:rsid w:val="004375A0"/>
    <w:rsid w:val="00437814"/>
    <w:rsid w:val="00437F2A"/>
    <w:rsid w:val="004401F8"/>
    <w:rsid w:val="00440846"/>
    <w:rsid w:val="004409B4"/>
    <w:rsid w:val="00440A18"/>
    <w:rsid w:val="00440D47"/>
    <w:rsid w:val="00440F56"/>
    <w:rsid w:val="00441134"/>
    <w:rsid w:val="004413B4"/>
    <w:rsid w:val="00441465"/>
    <w:rsid w:val="00441DA5"/>
    <w:rsid w:val="004421E6"/>
    <w:rsid w:val="00442C68"/>
    <w:rsid w:val="00442EF5"/>
    <w:rsid w:val="004440CA"/>
    <w:rsid w:val="00444240"/>
    <w:rsid w:val="004444AD"/>
    <w:rsid w:val="0044496F"/>
    <w:rsid w:val="00444B28"/>
    <w:rsid w:val="00444F8A"/>
    <w:rsid w:val="00444FC1"/>
    <w:rsid w:val="004450A9"/>
    <w:rsid w:val="0044541B"/>
    <w:rsid w:val="00446567"/>
    <w:rsid w:val="004465EB"/>
    <w:rsid w:val="004469FA"/>
    <w:rsid w:val="00447015"/>
    <w:rsid w:val="00447688"/>
    <w:rsid w:val="00447B4D"/>
    <w:rsid w:val="0045087E"/>
    <w:rsid w:val="00450D4A"/>
    <w:rsid w:val="0045240D"/>
    <w:rsid w:val="00452518"/>
    <w:rsid w:val="00453BAD"/>
    <w:rsid w:val="00453DF9"/>
    <w:rsid w:val="00454359"/>
    <w:rsid w:val="004547C9"/>
    <w:rsid w:val="00454BA8"/>
    <w:rsid w:val="0045528C"/>
    <w:rsid w:val="00455A5B"/>
    <w:rsid w:val="00455B93"/>
    <w:rsid w:val="00455C9B"/>
    <w:rsid w:val="00455E22"/>
    <w:rsid w:val="00456773"/>
    <w:rsid w:val="00456DC3"/>
    <w:rsid w:val="00456FA5"/>
    <w:rsid w:val="00457CCB"/>
    <w:rsid w:val="00457EF9"/>
    <w:rsid w:val="00457F9C"/>
    <w:rsid w:val="00460085"/>
    <w:rsid w:val="004606AD"/>
    <w:rsid w:val="00460E8C"/>
    <w:rsid w:val="004613FD"/>
    <w:rsid w:val="00461963"/>
    <w:rsid w:val="0046198A"/>
    <w:rsid w:val="00461F39"/>
    <w:rsid w:val="00463B67"/>
    <w:rsid w:val="00464201"/>
    <w:rsid w:val="0046470D"/>
    <w:rsid w:val="00464758"/>
    <w:rsid w:val="00464B19"/>
    <w:rsid w:val="0046546A"/>
    <w:rsid w:val="00465F5E"/>
    <w:rsid w:val="004661B1"/>
    <w:rsid w:val="00466DCA"/>
    <w:rsid w:val="00466E4D"/>
    <w:rsid w:val="00466E5F"/>
    <w:rsid w:val="00466F00"/>
    <w:rsid w:val="00467779"/>
    <w:rsid w:val="0046782A"/>
    <w:rsid w:val="00470A22"/>
    <w:rsid w:val="00470C46"/>
    <w:rsid w:val="00470EBE"/>
    <w:rsid w:val="004713BF"/>
    <w:rsid w:val="004716E6"/>
    <w:rsid w:val="00471B4F"/>
    <w:rsid w:val="00472649"/>
    <w:rsid w:val="004729A7"/>
    <w:rsid w:val="00472B47"/>
    <w:rsid w:val="00472C30"/>
    <w:rsid w:val="00473378"/>
    <w:rsid w:val="00473725"/>
    <w:rsid w:val="00473EE0"/>
    <w:rsid w:val="004743D2"/>
    <w:rsid w:val="00474519"/>
    <w:rsid w:val="0047465C"/>
    <w:rsid w:val="004747E3"/>
    <w:rsid w:val="00474D45"/>
    <w:rsid w:val="00475418"/>
    <w:rsid w:val="004755F4"/>
    <w:rsid w:val="00475BEA"/>
    <w:rsid w:val="00475D59"/>
    <w:rsid w:val="0047637E"/>
    <w:rsid w:val="004771D8"/>
    <w:rsid w:val="004771FD"/>
    <w:rsid w:val="00477425"/>
    <w:rsid w:val="00477503"/>
    <w:rsid w:val="00477A85"/>
    <w:rsid w:val="00477B80"/>
    <w:rsid w:val="004820B7"/>
    <w:rsid w:val="00482482"/>
    <w:rsid w:val="0048291F"/>
    <w:rsid w:val="004834E2"/>
    <w:rsid w:val="00483964"/>
    <w:rsid w:val="00483CF5"/>
    <w:rsid w:val="004843FA"/>
    <w:rsid w:val="00484604"/>
    <w:rsid w:val="00484A8C"/>
    <w:rsid w:val="0048574F"/>
    <w:rsid w:val="00485891"/>
    <w:rsid w:val="00485E95"/>
    <w:rsid w:val="00486CA5"/>
    <w:rsid w:val="00486D2B"/>
    <w:rsid w:val="00486D3E"/>
    <w:rsid w:val="0048769E"/>
    <w:rsid w:val="004876AA"/>
    <w:rsid w:val="00487CF3"/>
    <w:rsid w:val="00487F8F"/>
    <w:rsid w:val="004904C2"/>
    <w:rsid w:val="00490628"/>
    <w:rsid w:val="004907E6"/>
    <w:rsid w:val="00490D6F"/>
    <w:rsid w:val="004910FE"/>
    <w:rsid w:val="0049162D"/>
    <w:rsid w:val="00491942"/>
    <w:rsid w:val="00491AEB"/>
    <w:rsid w:val="00492445"/>
    <w:rsid w:val="004930FF"/>
    <w:rsid w:val="0049319C"/>
    <w:rsid w:val="0049380C"/>
    <w:rsid w:val="0049389A"/>
    <w:rsid w:val="00495691"/>
    <w:rsid w:val="0049606A"/>
    <w:rsid w:val="004970B5"/>
    <w:rsid w:val="004972FB"/>
    <w:rsid w:val="0049778E"/>
    <w:rsid w:val="0049791B"/>
    <w:rsid w:val="00497DBB"/>
    <w:rsid w:val="004A0224"/>
    <w:rsid w:val="004A0A40"/>
    <w:rsid w:val="004A0A67"/>
    <w:rsid w:val="004A1555"/>
    <w:rsid w:val="004A18D5"/>
    <w:rsid w:val="004A196C"/>
    <w:rsid w:val="004A1C0F"/>
    <w:rsid w:val="004A234B"/>
    <w:rsid w:val="004A2AF5"/>
    <w:rsid w:val="004A2FF2"/>
    <w:rsid w:val="004A3512"/>
    <w:rsid w:val="004A545B"/>
    <w:rsid w:val="004A5AE6"/>
    <w:rsid w:val="004A5AEC"/>
    <w:rsid w:val="004A77AA"/>
    <w:rsid w:val="004A7BBC"/>
    <w:rsid w:val="004A7C02"/>
    <w:rsid w:val="004A7DA0"/>
    <w:rsid w:val="004B01E2"/>
    <w:rsid w:val="004B131D"/>
    <w:rsid w:val="004B140E"/>
    <w:rsid w:val="004B19AC"/>
    <w:rsid w:val="004B1A9E"/>
    <w:rsid w:val="004B26B1"/>
    <w:rsid w:val="004B28F0"/>
    <w:rsid w:val="004B2D84"/>
    <w:rsid w:val="004B4145"/>
    <w:rsid w:val="004B4F7F"/>
    <w:rsid w:val="004B4F8F"/>
    <w:rsid w:val="004B5501"/>
    <w:rsid w:val="004B5788"/>
    <w:rsid w:val="004B6C47"/>
    <w:rsid w:val="004B6EA0"/>
    <w:rsid w:val="004B71BF"/>
    <w:rsid w:val="004B7641"/>
    <w:rsid w:val="004B79D6"/>
    <w:rsid w:val="004B7E82"/>
    <w:rsid w:val="004C03E1"/>
    <w:rsid w:val="004C0B3A"/>
    <w:rsid w:val="004C108B"/>
    <w:rsid w:val="004C1642"/>
    <w:rsid w:val="004C19EF"/>
    <w:rsid w:val="004C22EE"/>
    <w:rsid w:val="004C28C5"/>
    <w:rsid w:val="004C2A51"/>
    <w:rsid w:val="004C2B7A"/>
    <w:rsid w:val="004C2CD7"/>
    <w:rsid w:val="004C3013"/>
    <w:rsid w:val="004C3B82"/>
    <w:rsid w:val="004C5460"/>
    <w:rsid w:val="004C553F"/>
    <w:rsid w:val="004C5CBF"/>
    <w:rsid w:val="004C6477"/>
    <w:rsid w:val="004C66CA"/>
    <w:rsid w:val="004C6CDF"/>
    <w:rsid w:val="004C70C2"/>
    <w:rsid w:val="004C71A5"/>
    <w:rsid w:val="004C74E3"/>
    <w:rsid w:val="004C75F8"/>
    <w:rsid w:val="004C7818"/>
    <w:rsid w:val="004C79B9"/>
    <w:rsid w:val="004C7A33"/>
    <w:rsid w:val="004D08D2"/>
    <w:rsid w:val="004D12D1"/>
    <w:rsid w:val="004D1BCB"/>
    <w:rsid w:val="004D1F7D"/>
    <w:rsid w:val="004D226B"/>
    <w:rsid w:val="004D2FA2"/>
    <w:rsid w:val="004D3747"/>
    <w:rsid w:val="004D491F"/>
    <w:rsid w:val="004D5258"/>
    <w:rsid w:val="004D5956"/>
    <w:rsid w:val="004D60D2"/>
    <w:rsid w:val="004D61F2"/>
    <w:rsid w:val="004D6B01"/>
    <w:rsid w:val="004D7034"/>
    <w:rsid w:val="004D7091"/>
    <w:rsid w:val="004D7140"/>
    <w:rsid w:val="004D7356"/>
    <w:rsid w:val="004D7685"/>
    <w:rsid w:val="004D7E9B"/>
    <w:rsid w:val="004E00B9"/>
    <w:rsid w:val="004E0632"/>
    <w:rsid w:val="004E07C6"/>
    <w:rsid w:val="004E0AD1"/>
    <w:rsid w:val="004E0AE6"/>
    <w:rsid w:val="004E0C9A"/>
    <w:rsid w:val="004E114D"/>
    <w:rsid w:val="004E1258"/>
    <w:rsid w:val="004E1B93"/>
    <w:rsid w:val="004E1C0E"/>
    <w:rsid w:val="004E1C7D"/>
    <w:rsid w:val="004E1CB3"/>
    <w:rsid w:val="004E2601"/>
    <w:rsid w:val="004E281A"/>
    <w:rsid w:val="004E2875"/>
    <w:rsid w:val="004E28D8"/>
    <w:rsid w:val="004E42B0"/>
    <w:rsid w:val="004E4372"/>
    <w:rsid w:val="004E492E"/>
    <w:rsid w:val="004E4A59"/>
    <w:rsid w:val="004E55D2"/>
    <w:rsid w:val="004E57C1"/>
    <w:rsid w:val="004E6F5E"/>
    <w:rsid w:val="004E7003"/>
    <w:rsid w:val="004E7871"/>
    <w:rsid w:val="004E7AA9"/>
    <w:rsid w:val="004F04E1"/>
    <w:rsid w:val="004F0E16"/>
    <w:rsid w:val="004F158B"/>
    <w:rsid w:val="004F15B3"/>
    <w:rsid w:val="004F188A"/>
    <w:rsid w:val="004F1E77"/>
    <w:rsid w:val="004F1EA1"/>
    <w:rsid w:val="004F1F66"/>
    <w:rsid w:val="004F2BE2"/>
    <w:rsid w:val="004F2F0F"/>
    <w:rsid w:val="004F3593"/>
    <w:rsid w:val="004F3911"/>
    <w:rsid w:val="004F397A"/>
    <w:rsid w:val="004F45FD"/>
    <w:rsid w:val="004F5710"/>
    <w:rsid w:val="004F5F1C"/>
    <w:rsid w:val="004F6A23"/>
    <w:rsid w:val="004F6BB7"/>
    <w:rsid w:val="004F6C00"/>
    <w:rsid w:val="004F6C4B"/>
    <w:rsid w:val="004F7645"/>
    <w:rsid w:val="004F793F"/>
    <w:rsid w:val="004F7BE8"/>
    <w:rsid w:val="0050021F"/>
    <w:rsid w:val="0050026E"/>
    <w:rsid w:val="00500531"/>
    <w:rsid w:val="005005AB"/>
    <w:rsid w:val="00500B01"/>
    <w:rsid w:val="00501505"/>
    <w:rsid w:val="005019A5"/>
    <w:rsid w:val="00501D91"/>
    <w:rsid w:val="005023FE"/>
    <w:rsid w:val="005028EC"/>
    <w:rsid w:val="00502EE2"/>
    <w:rsid w:val="0050345F"/>
    <w:rsid w:val="00503D41"/>
    <w:rsid w:val="00504417"/>
    <w:rsid w:val="00504622"/>
    <w:rsid w:val="00504F74"/>
    <w:rsid w:val="00505B3C"/>
    <w:rsid w:val="00506411"/>
    <w:rsid w:val="005065E3"/>
    <w:rsid w:val="005068E9"/>
    <w:rsid w:val="00506AAD"/>
    <w:rsid w:val="00506BE6"/>
    <w:rsid w:val="00507732"/>
    <w:rsid w:val="00507E90"/>
    <w:rsid w:val="0051015E"/>
    <w:rsid w:val="0051042F"/>
    <w:rsid w:val="005119B5"/>
    <w:rsid w:val="00511A16"/>
    <w:rsid w:val="00511E5E"/>
    <w:rsid w:val="005123FF"/>
    <w:rsid w:val="00512A47"/>
    <w:rsid w:val="00512C88"/>
    <w:rsid w:val="00512F88"/>
    <w:rsid w:val="0051303F"/>
    <w:rsid w:val="00513622"/>
    <w:rsid w:val="00513863"/>
    <w:rsid w:val="00513D3A"/>
    <w:rsid w:val="00513EEF"/>
    <w:rsid w:val="00514244"/>
    <w:rsid w:val="005145AC"/>
    <w:rsid w:val="00514643"/>
    <w:rsid w:val="00514944"/>
    <w:rsid w:val="00514B1D"/>
    <w:rsid w:val="00514E54"/>
    <w:rsid w:val="00514EE5"/>
    <w:rsid w:val="005152A0"/>
    <w:rsid w:val="00515AFE"/>
    <w:rsid w:val="00515C75"/>
    <w:rsid w:val="00515D1E"/>
    <w:rsid w:val="005168D8"/>
    <w:rsid w:val="00516E48"/>
    <w:rsid w:val="005175B4"/>
    <w:rsid w:val="00517936"/>
    <w:rsid w:val="00517DAD"/>
    <w:rsid w:val="00517E15"/>
    <w:rsid w:val="00520594"/>
    <w:rsid w:val="00520F36"/>
    <w:rsid w:val="00521372"/>
    <w:rsid w:val="00521578"/>
    <w:rsid w:val="00521852"/>
    <w:rsid w:val="00523849"/>
    <w:rsid w:val="00523A06"/>
    <w:rsid w:val="00523ACB"/>
    <w:rsid w:val="00523B5E"/>
    <w:rsid w:val="00524177"/>
    <w:rsid w:val="00524795"/>
    <w:rsid w:val="00524C23"/>
    <w:rsid w:val="00524E80"/>
    <w:rsid w:val="00525080"/>
    <w:rsid w:val="005254D3"/>
    <w:rsid w:val="00525538"/>
    <w:rsid w:val="00525615"/>
    <w:rsid w:val="0052564C"/>
    <w:rsid w:val="00525EC6"/>
    <w:rsid w:val="00525F93"/>
    <w:rsid w:val="00526460"/>
    <w:rsid w:val="00526DB0"/>
    <w:rsid w:val="00526DC5"/>
    <w:rsid w:val="005316C9"/>
    <w:rsid w:val="00531ACE"/>
    <w:rsid w:val="00531B12"/>
    <w:rsid w:val="00532781"/>
    <w:rsid w:val="00532E90"/>
    <w:rsid w:val="0053337E"/>
    <w:rsid w:val="005333C5"/>
    <w:rsid w:val="00533668"/>
    <w:rsid w:val="00533F6B"/>
    <w:rsid w:val="00535050"/>
    <w:rsid w:val="00535E51"/>
    <w:rsid w:val="00537030"/>
    <w:rsid w:val="00537141"/>
    <w:rsid w:val="00537464"/>
    <w:rsid w:val="0054026F"/>
    <w:rsid w:val="00540327"/>
    <w:rsid w:val="005408EB"/>
    <w:rsid w:val="005409C5"/>
    <w:rsid w:val="00540D33"/>
    <w:rsid w:val="00540FBA"/>
    <w:rsid w:val="00541B33"/>
    <w:rsid w:val="00541C0B"/>
    <w:rsid w:val="00541C80"/>
    <w:rsid w:val="00541E0A"/>
    <w:rsid w:val="0054268E"/>
    <w:rsid w:val="00542E18"/>
    <w:rsid w:val="00543141"/>
    <w:rsid w:val="00543B94"/>
    <w:rsid w:val="00543EA2"/>
    <w:rsid w:val="00543F55"/>
    <w:rsid w:val="00544245"/>
    <w:rsid w:val="005447D2"/>
    <w:rsid w:val="00544986"/>
    <w:rsid w:val="00544C3F"/>
    <w:rsid w:val="00545AD5"/>
    <w:rsid w:val="00545D12"/>
    <w:rsid w:val="00545EE5"/>
    <w:rsid w:val="00546629"/>
    <w:rsid w:val="005468F8"/>
    <w:rsid w:val="00546D1F"/>
    <w:rsid w:val="00546E0D"/>
    <w:rsid w:val="00546FCD"/>
    <w:rsid w:val="00547D31"/>
    <w:rsid w:val="005501D3"/>
    <w:rsid w:val="005503F2"/>
    <w:rsid w:val="00550999"/>
    <w:rsid w:val="00550BD9"/>
    <w:rsid w:val="00550FA1"/>
    <w:rsid w:val="00552529"/>
    <w:rsid w:val="00552CEA"/>
    <w:rsid w:val="00553677"/>
    <w:rsid w:val="0055380F"/>
    <w:rsid w:val="00553DBA"/>
    <w:rsid w:val="00553E21"/>
    <w:rsid w:val="00554422"/>
    <w:rsid w:val="00554825"/>
    <w:rsid w:val="00555383"/>
    <w:rsid w:val="00555ACB"/>
    <w:rsid w:val="00555C1E"/>
    <w:rsid w:val="00555D7C"/>
    <w:rsid w:val="00555E57"/>
    <w:rsid w:val="00556502"/>
    <w:rsid w:val="00556884"/>
    <w:rsid w:val="0055734C"/>
    <w:rsid w:val="00557482"/>
    <w:rsid w:val="00557679"/>
    <w:rsid w:val="005576DA"/>
    <w:rsid w:val="005576FA"/>
    <w:rsid w:val="0056099A"/>
    <w:rsid w:val="00560F64"/>
    <w:rsid w:val="00561DDA"/>
    <w:rsid w:val="00562974"/>
    <w:rsid w:val="00562FEE"/>
    <w:rsid w:val="00565DC3"/>
    <w:rsid w:val="00565FC0"/>
    <w:rsid w:val="005661EE"/>
    <w:rsid w:val="005670C7"/>
    <w:rsid w:val="00567252"/>
    <w:rsid w:val="005678BB"/>
    <w:rsid w:val="005679BD"/>
    <w:rsid w:val="005702FA"/>
    <w:rsid w:val="005705FE"/>
    <w:rsid w:val="005708A8"/>
    <w:rsid w:val="00570B23"/>
    <w:rsid w:val="00571ABC"/>
    <w:rsid w:val="00571AF7"/>
    <w:rsid w:val="00571B66"/>
    <w:rsid w:val="00571C41"/>
    <w:rsid w:val="0057270E"/>
    <w:rsid w:val="00572753"/>
    <w:rsid w:val="00572E4C"/>
    <w:rsid w:val="00572E6E"/>
    <w:rsid w:val="0057395A"/>
    <w:rsid w:val="00573E68"/>
    <w:rsid w:val="005748F7"/>
    <w:rsid w:val="00574B0F"/>
    <w:rsid w:val="005756D5"/>
    <w:rsid w:val="005759F3"/>
    <w:rsid w:val="00575C6B"/>
    <w:rsid w:val="00576AE6"/>
    <w:rsid w:val="00576FD6"/>
    <w:rsid w:val="00577123"/>
    <w:rsid w:val="0058029E"/>
    <w:rsid w:val="005811E9"/>
    <w:rsid w:val="005812ED"/>
    <w:rsid w:val="00581440"/>
    <w:rsid w:val="00581774"/>
    <w:rsid w:val="00581970"/>
    <w:rsid w:val="00581ECC"/>
    <w:rsid w:val="005829CE"/>
    <w:rsid w:val="005829F4"/>
    <w:rsid w:val="00582B3C"/>
    <w:rsid w:val="00582ECD"/>
    <w:rsid w:val="00582ED8"/>
    <w:rsid w:val="005830C9"/>
    <w:rsid w:val="005836A5"/>
    <w:rsid w:val="00583BCC"/>
    <w:rsid w:val="005841EC"/>
    <w:rsid w:val="00584F4E"/>
    <w:rsid w:val="005851E9"/>
    <w:rsid w:val="005852C3"/>
    <w:rsid w:val="005852E4"/>
    <w:rsid w:val="005855A6"/>
    <w:rsid w:val="005864B9"/>
    <w:rsid w:val="00586546"/>
    <w:rsid w:val="00586A3C"/>
    <w:rsid w:val="00586B53"/>
    <w:rsid w:val="00586BDA"/>
    <w:rsid w:val="0058722A"/>
    <w:rsid w:val="0058741A"/>
    <w:rsid w:val="00587CA3"/>
    <w:rsid w:val="00587D74"/>
    <w:rsid w:val="0059039F"/>
    <w:rsid w:val="005908D9"/>
    <w:rsid w:val="00590B97"/>
    <w:rsid w:val="00590EB3"/>
    <w:rsid w:val="00591978"/>
    <w:rsid w:val="00591D5D"/>
    <w:rsid w:val="00591DD0"/>
    <w:rsid w:val="00591FAD"/>
    <w:rsid w:val="00592E3E"/>
    <w:rsid w:val="0059459B"/>
    <w:rsid w:val="005953C5"/>
    <w:rsid w:val="0059541D"/>
    <w:rsid w:val="00595921"/>
    <w:rsid w:val="00595DE5"/>
    <w:rsid w:val="005971AF"/>
    <w:rsid w:val="00597DFD"/>
    <w:rsid w:val="005A0159"/>
    <w:rsid w:val="005A02C2"/>
    <w:rsid w:val="005A03C5"/>
    <w:rsid w:val="005A0792"/>
    <w:rsid w:val="005A1082"/>
    <w:rsid w:val="005A1DAA"/>
    <w:rsid w:val="005A26AA"/>
    <w:rsid w:val="005A28FF"/>
    <w:rsid w:val="005A2C8D"/>
    <w:rsid w:val="005A48D9"/>
    <w:rsid w:val="005A499D"/>
    <w:rsid w:val="005A50F3"/>
    <w:rsid w:val="005A5840"/>
    <w:rsid w:val="005A623A"/>
    <w:rsid w:val="005A679C"/>
    <w:rsid w:val="005A6D7B"/>
    <w:rsid w:val="005A6F62"/>
    <w:rsid w:val="005B061F"/>
    <w:rsid w:val="005B0979"/>
    <w:rsid w:val="005B0D77"/>
    <w:rsid w:val="005B0F7C"/>
    <w:rsid w:val="005B147B"/>
    <w:rsid w:val="005B1AA6"/>
    <w:rsid w:val="005B1AF3"/>
    <w:rsid w:val="005B1BEA"/>
    <w:rsid w:val="005B1DB4"/>
    <w:rsid w:val="005B1FCE"/>
    <w:rsid w:val="005B2381"/>
    <w:rsid w:val="005B2D55"/>
    <w:rsid w:val="005B2E19"/>
    <w:rsid w:val="005B2E38"/>
    <w:rsid w:val="005B2FD1"/>
    <w:rsid w:val="005B35E5"/>
    <w:rsid w:val="005B36FD"/>
    <w:rsid w:val="005B3AFE"/>
    <w:rsid w:val="005B42EF"/>
    <w:rsid w:val="005B45D6"/>
    <w:rsid w:val="005B48C6"/>
    <w:rsid w:val="005B4A98"/>
    <w:rsid w:val="005B4D15"/>
    <w:rsid w:val="005B5733"/>
    <w:rsid w:val="005B58D0"/>
    <w:rsid w:val="005B5A15"/>
    <w:rsid w:val="005B5F07"/>
    <w:rsid w:val="005B5FAB"/>
    <w:rsid w:val="005B6905"/>
    <w:rsid w:val="005B6D0A"/>
    <w:rsid w:val="005B6FD1"/>
    <w:rsid w:val="005C01C6"/>
    <w:rsid w:val="005C045A"/>
    <w:rsid w:val="005C08D3"/>
    <w:rsid w:val="005C0DCB"/>
    <w:rsid w:val="005C15FF"/>
    <w:rsid w:val="005C1A3A"/>
    <w:rsid w:val="005C1FCD"/>
    <w:rsid w:val="005C226D"/>
    <w:rsid w:val="005C2354"/>
    <w:rsid w:val="005C297E"/>
    <w:rsid w:val="005C2BF5"/>
    <w:rsid w:val="005C2D3F"/>
    <w:rsid w:val="005C31D8"/>
    <w:rsid w:val="005C336A"/>
    <w:rsid w:val="005C36FC"/>
    <w:rsid w:val="005C3A9D"/>
    <w:rsid w:val="005C47D0"/>
    <w:rsid w:val="005C4ECF"/>
    <w:rsid w:val="005C53FE"/>
    <w:rsid w:val="005C57A7"/>
    <w:rsid w:val="005C5BBC"/>
    <w:rsid w:val="005C6072"/>
    <w:rsid w:val="005C6317"/>
    <w:rsid w:val="005C6505"/>
    <w:rsid w:val="005C6624"/>
    <w:rsid w:val="005C67EE"/>
    <w:rsid w:val="005C6E3F"/>
    <w:rsid w:val="005C735A"/>
    <w:rsid w:val="005C752E"/>
    <w:rsid w:val="005C7916"/>
    <w:rsid w:val="005C7B1A"/>
    <w:rsid w:val="005C7D41"/>
    <w:rsid w:val="005C7FEF"/>
    <w:rsid w:val="005D0283"/>
    <w:rsid w:val="005D0830"/>
    <w:rsid w:val="005D09A9"/>
    <w:rsid w:val="005D0F68"/>
    <w:rsid w:val="005D0FA9"/>
    <w:rsid w:val="005D11D6"/>
    <w:rsid w:val="005D1983"/>
    <w:rsid w:val="005D1F38"/>
    <w:rsid w:val="005D3206"/>
    <w:rsid w:val="005D37E5"/>
    <w:rsid w:val="005D3861"/>
    <w:rsid w:val="005D3EBE"/>
    <w:rsid w:val="005D3EF3"/>
    <w:rsid w:val="005D570E"/>
    <w:rsid w:val="005D5A02"/>
    <w:rsid w:val="005D5F64"/>
    <w:rsid w:val="005D6795"/>
    <w:rsid w:val="005D6AC9"/>
    <w:rsid w:val="005D72D6"/>
    <w:rsid w:val="005D7692"/>
    <w:rsid w:val="005D7C59"/>
    <w:rsid w:val="005E0203"/>
    <w:rsid w:val="005E044D"/>
    <w:rsid w:val="005E094D"/>
    <w:rsid w:val="005E09F5"/>
    <w:rsid w:val="005E1079"/>
    <w:rsid w:val="005E1120"/>
    <w:rsid w:val="005E1942"/>
    <w:rsid w:val="005E230A"/>
    <w:rsid w:val="005E2825"/>
    <w:rsid w:val="005E2F02"/>
    <w:rsid w:val="005E3203"/>
    <w:rsid w:val="005E3EF0"/>
    <w:rsid w:val="005E4145"/>
    <w:rsid w:val="005E426F"/>
    <w:rsid w:val="005E43E9"/>
    <w:rsid w:val="005E471D"/>
    <w:rsid w:val="005E4CCC"/>
    <w:rsid w:val="005E6E82"/>
    <w:rsid w:val="005E75BA"/>
    <w:rsid w:val="005F0ABD"/>
    <w:rsid w:val="005F15AE"/>
    <w:rsid w:val="005F1902"/>
    <w:rsid w:val="005F26A1"/>
    <w:rsid w:val="005F27E9"/>
    <w:rsid w:val="005F3125"/>
    <w:rsid w:val="005F3281"/>
    <w:rsid w:val="005F38DB"/>
    <w:rsid w:val="005F3AC6"/>
    <w:rsid w:val="005F3FCF"/>
    <w:rsid w:val="005F4BFF"/>
    <w:rsid w:val="005F52C2"/>
    <w:rsid w:val="005F56BE"/>
    <w:rsid w:val="005F60FD"/>
    <w:rsid w:val="005F611F"/>
    <w:rsid w:val="005F633B"/>
    <w:rsid w:val="005F639B"/>
    <w:rsid w:val="005F639D"/>
    <w:rsid w:val="005F64B1"/>
    <w:rsid w:val="005F66F9"/>
    <w:rsid w:val="005F67E2"/>
    <w:rsid w:val="005F7CEE"/>
    <w:rsid w:val="005F7DA0"/>
    <w:rsid w:val="005F7F91"/>
    <w:rsid w:val="00600C8C"/>
    <w:rsid w:val="00600D52"/>
    <w:rsid w:val="00602082"/>
    <w:rsid w:val="0060213F"/>
    <w:rsid w:val="00602817"/>
    <w:rsid w:val="00603289"/>
    <w:rsid w:val="00605037"/>
    <w:rsid w:val="006057C9"/>
    <w:rsid w:val="00605CBF"/>
    <w:rsid w:val="00606C51"/>
    <w:rsid w:val="00606E4D"/>
    <w:rsid w:val="0060743F"/>
    <w:rsid w:val="00607795"/>
    <w:rsid w:val="006077F4"/>
    <w:rsid w:val="00607E9C"/>
    <w:rsid w:val="0061067C"/>
    <w:rsid w:val="006109E1"/>
    <w:rsid w:val="00610CC6"/>
    <w:rsid w:val="00610DDE"/>
    <w:rsid w:val="00610F62"/>
    <w:rsid w:val="00611A21"/>
    <w:rsid w:val="006120D7"/>
    <w:rsid w:val="006123A8"/>
    <w:rsid w:val="0061246A"/>
    <w:rsid w:val="00612AE2"/>
    <w:rsid w:val="00612CC2"/>
    <w:rsid w:val="00613965"/>
    <w:rsid w:val="00613CE6"/>
    <w:rsid w:val="00613E75"/>
    <w:rsid w:val="00614636"/>
    <w:rsid w:val="00614945"/>
    <w:rsid w:val="00615970"/>
    <w:rsid w:val="006159B2"/>
    <w:rsid w:val="00615E61"/>
    <w:rsid w:val="00615E82"/>
    <w:rsid w:val="006163E1"/>
    <w:rsid w:val="00616547"/>
    <w:rsid w:val="006165B8"/>
    <w:rsid w:val="00616890"/>
    <w:rsid w:val="00616A78"/>
    <w:rsid w:val="00616E33"/>
    <w:rsid w:val="006179A3"/>
    <w:rsid w:val="00617F53"/>
    <w:rsid w:val="00620127"/>
    <w:rsid w:val="0062029A"/>
    <w:rsid w:val="00620B90"/>
    <w:rsid w:val="00620ECB"/>
    <w:rsid w:val="00621911"/>
    <w:rsid w:val="00622073"/>
    <w:rsid w:val="00622D33"/>
    <w:rsid w:val="006230FE"/>
    <w:rsid w:val="00623CA4"/>
    <w:rsid w:val="00623EE6"/>
    <w:rsid w:val="00623FD4"/>
    <w:rsid w:val="00624062"/>
    <w:rsid w:val="0062483B"/>
    <w:rsid w:val="00624BC6"/>
    <w:rsid w:val="0062511E"/>
    <w:rsid w:val="006254EA"/>
    <w:rsid w:val="006260D2"/>
    <w:rsid w:val="00627422"/>
    <w:rsid w:val="00627E9F"/>
    <w:rsid w:val="00627FCD"/>
    <w:rsid w:val="0063033B"/>
    <w:rsid w:val="006308E0"/>
    <w:rsid w:val="00630CAF"/>
    <w:rsid w:val="00630F75"/>
    <w:rsid w:val="006314F1"/>
    <w:rsid w:val="0063178D"/>
    <w:rsid w:val="00632CCD"/>
    <w:rsid w:val="006332E0"/>
    <w:rsid w:val="00633DD3"/>
    <w:rsid w:val="00634100"/>
    <w:rsid w:val="00634120"/>
    <w:rsid w:val="006345E3"/>
    <w:rsid w:val="00634849"/>
    <w:rsid w:val="00634A85"/>
    <w:rsid w:val="00634B6D"/>
    <w:rsid w:val="00634C05"/>
    <w:rsid w:val="0063506B"/>
    <w:rsid w:val="0063585C"/>
    <w:rsid w:val="006368C3"/>
    <w:rsid w:val="00637710"/>
    <w:rsid w:val="006406C5"/>
    <w:rsid w:val="00640757"/>
    <w:rsid w:val="006407BF"/>
    <w:rsid w:val="00640FF2"/>
    <w:rsid w:val="00641726"/>
    <w:rsid w:val="00641B37"/>
    <w:rsid w:val="00641D2F"/>
    <w:rsid w:val="00641E29"/>
    <w:rsid w:val="006426AA"/>
    <w:rsid w:val="0064287A"/>
    <w:rsid w:val="00643494"/>
    <w:rsid w:val="00643996"/>
    <w:rsid w:val="006439EE"/>
    <w:rsid w:val="0064589C"/>
    <w:rsid w:val="00645F1E"/>
    <w:rsid w:val="00645FDA"/>
    <w:rsid w:val="00646DBF"/>
    <w:rsid w:val="0064707F"/>
    <w:rsid w:val="00647E2C"/>
    <w:rsid w:val="00647E78"/>
    <w:rsid w:val="00650A85"/>
    <w:rsid w:val="00650EC9"/>
    <w:rsid w:val="0065155D"/>
    <w:rsid w:val="00651BB1"/>
    <w:rsid w:val="00651E8C"/>
    <w:rsid w:val="00651EBB"/>
    <w:rsid w:val="006529F7"/>
    <w:rsid w:val="00652E31"/>
    <w:rsid w:val="006531B0"/>
    <w:rsid w:val="006532D1"/>
    <w:rsid w:val="00653724"/>
    <w:rsid w:val="00653A78"/>
    <w:rsid w:val="00653DDD"/>
    <w:rsid w:val="00654C48"/>
    <w:rsid w:val="00655504"/>
    <w:rsid w:val="00655C86"/>
    <w:rsid w:val="00655EBA"/>
    <w:rsid w:val="00655F44"/>
    <w:rsid w:val="00655F92"/>
    <w:rsid w:val="006561AF"/>
    <w:rsid w:val="00656AF1"/>
    <w:rsid w:val="006570E4"/>
    <w:rsid w:val="00662338"/>
    <w:rsid w:val="00662DA0"/>
    <w:rsid w:val="0066383D"/>
    <w:rsid w:val="00664C51"/>
    <w:rsid w:val="00664D33"/>
    <w:rsid w:val="00665D9C"/>
    <w:rsid w:val="00667371"/>
    <w:rsid w:val="0066738D"/>
    <w:rsid w:val="006674EB"/>
    <w:rsid w:val="006676C6"/>
    <w:rsid w:val="00667A50"/>
    <w:rsid w:val="00667DDF"/>
    <w:rsid w:val="00667F23"/>
    <w:rsid w:val="0067016E"/>
    <w:rsid w:val="006703EB"/>
    <w:rsid w:val="0067091F"/>
    <w:rsid w:val="00670F5C"/>
    <w:rsid w:val="00671031"/>
    <w:rsid w:val="00671C14"/>
    <w:rsid w:val="00672713"/>
    <w:rsid w:val="00672C12"/>
    <w:rsid w:val="00673451"/>
    <w:rsid w:val="006734F7"/>
    <w:rsid w:val="00673B2E"/>
    <w:rsid w:val="00673C8E"/>
    <w:rsid w:val="00674219"/>
    <w:rsid w:val="006744F8"/>
    <w:rsid w:val="00674707"/>
    <w:rsid w:val="006754F4"/>
    <w:rsid w:val="006760D0"/>
    <w:rsid w:val="00676C29"/>
    <w:rsid w:val="00677361"/>
    <w:rsid w:val="0067741B"/>
    <w:rsid w:val="006774FC"/>
    <w:rsid w:val="00677AD7"/>
    <w:rsid w:val="00677C17"/>
    <w:rsid w:val="00677E5D"/>
    <w:rsid w:val="006800E1"/>
    <w:rsid w:val="00680349"/>
    <w:rsid w:val="006806F8"/>
    <w:rsid w:val="00680899"/>
    <w:rsid w:val="00680C13"/>
    <w:rsid w:val="0068114B"/>
    <w:rsid w:val="00681482"/>
    <w:rsid w:val="00681995"/>
    <w:rsid w:val="00681D92"/>
    <w:rsid w:val="00682675"/>
    <w:rsid w:val="00682C74"/>
    <w:rsid w:val="00683A31"/>
    <w:rsid w:val="00683A82"/>
    <w:rsid w:val="00683ABA"/>
    <w:rsid w:val="00684847"/>
    <w:rsid w:val="00684AFF"/>
    <w:rsid w:val="00685CF2"/>
    <w:rsid w:val="0068629C"/>
    <w:rsid w:val="00687BB4"/>
    <w:rsid w:val="00687DCA"/>
    <w:rsid w:val="006903C8"/>
    <w:rsid w:val="006909D6"/>
    <w:rsid w:val="00690B12"/>
    <w:rsid w:val="00691FE1"/>
    <w:rsid w:val="0069211A"/>
    <w:rsid w:val="00692305"/>
    <w:rsid w:val="00693243"/>
    <w:rsid w:val="00693273"/>
    <w:rsid w:val="0069344C"/>
    <w:rsid w:val="006937A5"/>
    <w:rsid w:val="00693BEB"/>
    <w:rsid w:val="00693EDE"/>
    <w:rsid w:val="0069481D"/>
    <w:rsid w:val="00695302"/>
    <w:rsid w:val="0069586A"/>
    <w:rsid w:val="00695CD4"/>
    <w:rsid w:val="00696038"/>
    <w:rsid w:val="0069609D"/>
    <w:rsid w:val="006961C5"/>
    <w:rsid w:val="006961ED"/>
    <w:rsid w:val="006962C0"/>
    <w:rsid w:val="00696374"/>
    <w:rsid w:val="00696DF8"/>
    <w:rsid w:val="00697282"/>
    <w:rsid w:val="006972B5"/>
    <w:rsid w:val="006974F2"/>
    <w:rsid w:val="00697563"/>
    <w:rsid w:val="006978EE"/>
    <w:rsid w:val="00697BA4"/>
    <w:rsid w:val="006A0464"/>
    <w:rsid w:val="006A068F"/>
    <w:rsid w:val="006A0728"/>
    <w:rsid w:val="006A07F0"/>
    <w:rsid w:val="006A09D9"/>
    <w:rsid w:val="006A0AA9"/>
    <w:rsid w:val="006A0B9D"/>
    <w:rsid w:val="006A10B7"/>
    <w:rsid w:val="006A18B2"/>
    <w:rsid w:val="006A1957"/>
    <w:rsid w:val="006A1AB2"/>
    <w:rsid w:val="006A1C1A"/>
    <w:rsid w:val="006A1CD7"/>
    <w:rsid w:val="006A2373"/>
    <w:rsid w:val="006A2565"/>
    <w:rsid w:val="006A29D3"/>
    <w:rsid w:val="006A3A68"/>
    <w:rsid w:val="006A432F"/>
    <w:rsid w:val="006A4ADA"/>
    <w:rsid w:val="006A4BCF"/>
    <w:rsid w:val="006A4BE8"/>
    <w:rsid w:val="006A5075"/>
    <w:rsid w:val="006A5500"/>
    <w:rsid w:val="006A5E6C"/>
    <w:rsid w:val="006A7087"/>
    <w:rsid w:val="006A7328"/>
    <w:rsid w:val="006A7386"/>
    <w:rsid w:val="006A75A0"/>
    <w:rsid w:val="006B0201"/>
    <w:rsid w:val="006B025A"/>
    <w:rsid w:val="006B1586"/>
    <w:rsid w:val="006B1940"/>
    <w:rsid w:val="006B1D8C"/>
    <w:rsid w:val="006B1DC2"/>
    <w:rsid w:val="006B1FAA"/>
    <w:rsid w:val="006B28C5"/>
    <w:rsid w:val="006B2A49"/>
    <w:rsid w:val="006B2F8E"/>
    <w:rsid w:val="006B3192"/>
    <w:rsid w:val="006B3348"/>
    <w:rsid w:val="006B3622"/>
    <w:rsid w:val="006B3783"/>
    <w:rsid w:val="006B396D"/>
    <w:rsid w:val="006B3C69"/>
    <w:rsid w:val="006B3CDF"/>
    <w:rsid w:val="006B4436"/>
    <w:rsid w:val="006B4791"/>
    <w:rsid w:val="006B4E73"/>
    <w:rsid w:val="006B5A52"/>
    <w:rsid w:val="006B5E30"/>
    <w:rsid w:val="006B627D"/>
    <w:rsid w:val="006B645A"/>
    <w:rsid w:val="006B6596"/>
    <w:rsid w:val="006B6618"/>
    <w:rsid w:val="006B6A0C"/>
    <w:rsid w:val="006B6B71"/>
    <w:rsid w:val="006C009C"/>
    <w:rsid w:val="006C05B5"/>
    <w:rsid w:val="006C0811"/>
    <w:rsid w:val="006C14DA"/>
    <w:rsid w:val="006C1B40"/>
    <w:rsid w:val="006C1D3B"/>
    <w:rsid w:val="006C2CEB"/>
    <w:rsid w:val="006C2E47"/>
    <w:rsid w:val="006C2E4D"/>
    <w:rsid w:val="006C38D5"/>
    <w:rsid w:val="006C3E04"/>
    <w:rsid w:val="006C4108"/>
    <w:rsid w:val="006C4238"/>
    <w:rsid w:val="006C4FB0"/>
    <w:rsid w:val="006C4FF6"/>
    <w:rsid w:val="006C5017"/>
    <w:rsid w:val="006C5342"/>
    <w:rsid w:val="006C55BC"/>
    <w:rsid w:val="006C56D1"/>
    <w:rsid w:val="006C5B1B"/>
    <w:rsid w:val="006C5DE2"/>
    <w:rsid w:val="006C5DFF"/>
    <w:rsid w:val="006C607E"/>
    <w:rsid w:val="006C61AB"/>
    <w:rsid w:val="006C6507"/>
    <w:rsid w:val="006C671B"/>
    <w:rsid w:val="006C6A9E"/>
    <w:rsid w:val="006C77BF"/>
    <w:rsid w:val="006C78BD"/>
    <w:rsid w:val="006D0877"/>
    <w:rsid w:val="006D0C66"/>
    <w:rsid w:val="006D10C6"/>
    <w:rsid w:val="006D1B4E"/>
    <w:rsid w:val="006D1DFA"/>
    <w:rsid w:val="006D1F36"/>
    <w:rsid w:val="006D20B9"/>
    <w:rsid w:val="006D2333"/>
    <w:rsid w:val="006D2606"/>
    <w:rsid w:val="006D29E1"/>
    <w:rsid w:val="006D2D30"/>
    <w:rsid w:val="006D389E"/>
    <w:rsid w:val="006D3CF8"/>
    <w:rsid w:val="006D3ECC"/>
    <w:rsid w:val="006D4028"/>
    <w:rsid w:val="006D40DF"/>
    <w:rsid w:val="006D42D0"/>
    <w:rsid w:val="006D48BA"/>
    <w:rsid w:val="006D48D9"/>
    <w:rsid w:val="006D4A43"/>
    <w:rsid w:val="006D4ABF"/>
    <w:rsid w:val="006D4B69"/>
    <w:rsid w:val="006D4BFF"/>
    <w:rsid w:val="006D4F15"/>
    <w:rsid w:val="006D50AA"/>
    <w:rsid w:val="006D5545"/>
    <w:rsid w:val="006D57EC"/>
    <w:rsid w:val="006D58F1"/>
    <w:rsid w:val="006D5E44"/>
    <w:rsid w:val="006D5F9F"/>
    <w:rsid w:val="006D6029"/>
    <w:rsid w:val="006D6145"/>
    <w:rsid w:val="006D6E21"/>
    <w:rsid w:val="006D6EE6"/>
    <w:rsid w:val="006D71D2"/>
    <w:rsid w:val="006D785B"/>
    <w:rsid w:val="006D7CDD"/>
    <w:rsid w:val="006E05D9"/>
    <w:rsid w:val="006E08F1"/>
    <w:rsid w:val="006E1070"/>
    <w:rsid w:val="006E2275"/>
    <w:rsid w:val="006E28D5"/>
    <w:rsid w:val="006E30F0"/>
    <w:rsid w:val="006E32BE"/>
    <w:rsid w:val="006E3383"/>
    <w:rsid w:val="006E37DF"/>
    <w:rsid w:val="006E3B91"/>
    <w:rsid w:val="006E447A"/>
    <w:rsid w:val="006E5E2E"/>
    <w:rsid w:val="006E6200"/>
    <w:rsid w:val="006E6482"/>
    <w:rsid w:val="006E67F4"/>
    <w:rsid w:val="006E7864"/>
    <w:rsid w:val="006E7BFD"/>
    <w:rsid w:val="006F072C"/>
    <w:rsid w:val="006F08F9"/>
    <w:rsid w:val="006F0CE9"/>
    <w:rsid w:val="006F0FE6"/>
    <w:rsid w:val="006F1082"/>
    <w:rsid w:val="006F1111"/>
    <w:rsid w:val="006F134E"/>
    <w:rsid w:val="006F1955"/>
    <w:rsid w:val="006F1A99"/>
    <w:rsid w:val="006F1B24"/>
    <w:rsid w:val="006F1C7E"/>
    <w:rsid w:val="006F1ED6"/>
    <w:rsid w:val="006F24CE"/>
    <w:rsid w:val="006F24F4"/>
    <w:rsid w:val="006F264F"/>
    <w:rsid w:val="006F36F1"/>
    <w:rsid w:val="006F3C75"/>
    <w:rsid w:val="006F41A1"/>
    <w:rsid w:val="006F5184"/>
    <w:rsid w:val="006F51D5"/>
    <w:rsid w:val="006F532F"/>
    <w:rsid w:val="006F65EB"/>
    <w:rsid w:val="006F69E5"/>
    <w:rsid w:val="006F71A1"/>
    <w:rsid w:val="006F71B2"/>
    <w:rsid w:val="007006C6"/>
    <w:rsid w:val="00700C93"/>
    <w:rsid w:val="00700E77"/>
    <w:rsid w:val="00701403"/>
    <w:rsid w:val="00701CEA"/>
    <w:rsid w:val="00702A04"/>
    <w:rsid w:val="00702CB4"/>
    <w:rsid w:val="00702D9F"/>
    <w:rsid w:val="00703264"/>
    <w:rsid w:val="00703A2D"/>
    <w:rsid w:val="007041E6"/>
    <w:rsid w:val="0070426D"/>
    <w:rsid w:val="00704291"/>
    <w:rsid w:val="00704694"/>
    <w:rsid w:val="0070472B"/>
    <w:rsid w:val="00704F8A"/>
    <w:rsid w:val="00705DB1"/>
    <w:rsid w:val="00705EC5"/>
    <w:rsid w:val="00706025"/>
    <w:rsid w:val="007061A5"/>
    <w:rsid w:val="0070659E"/>
    <w:rsid w:val="00706B2E"/>
    <w:rsid w:val="00707029"/>
    <w:rsid w:val="007070D9"/>
    <w:rsid w:val="007074F8"/>
    <w:rsid w:val="00707D9F"/>
    <w:rsid w:val="007104E4"/>
    <w:rsid w:val="007112B9"/>
    <w:rsid w:val="007113F1"/>
    <w:rsid w:val="00712ACB"/>
    <w:rsid w:val="00712E46"/>
    <w:rsid w:val="00712FAC"/>
    <w:rsid w:val="007131E7"/>
    <w:rsid w:val="00713601"/>
    <w:rsid w:val="007141F1"/>
    <w:rsid w:val="00714ECC"/>
    <w:rsid w:val="0071565C"/>
    <w:rsid w:val="00715670"/>
    <w:rsid w:val="00715F74"/>
    <w:rsid w:val="0071611A"/>
    <w:rsid w:val="007166F4"/>
    <w:rsid w:val="00716A0A"/>
    <w:rsid w:val="007171C1"/>
    <w:rsid w:val="00717525"/>
    <w:rsid w:val="007176A4"/>
    <w:rsid w:val="00717917"/>
    <w:rsid w:val="00720493"/>
    <w:rsid w:val="0072086C"/>
    <w:rsid w:val="00720BD7"/>
    <w:rsid w:val="00720D79"/>
    <w:rsid w:val="00720E1D"/>
    <w:rsid w:val="00721185"/>
    <w:rsid w:val="00721FEA"/>
    <w:rsid w:val="007223A8"/>
    <w:rsid w:val="00722994"/>
    <w:rsid w:val="00722C58"/>
    <w:rsid w:val="00723129"/>
    <w:rsid w:val="00723536"/>
    <w:rsid w:val="007256EE"/>
    <w:rsid w:val="00725741"/>
    <w:rsid w:val="00725AEB"/>
    <w:rsid w:val="00725CB7"/>
    <w:rsid w:val="00725DAC"/>
    <w:rsid w:val="00726E56"/>
    <w:rsid w:val="00730EBF"/>
    <w:rsid w:val="00730FB1"/>
    <w:rsid w:val="00731CB3"/>
    <w:rsid w:val="007322B0"/>
    <w:rsid w:val="0073236D"/>
    <w:rsid w:val="007326AD"/>
    <w:rsid w:val="00733027"/>
    <w:rsid w:val="0073326F"/>
    <w:rsid w:val="00733CEA"/>
    <w:rsid w:val="00735043"/>
    <w:rsid w:val="00735176"/>
    <w:rsid w:val="007356B5"/>
    <w:rsid w:val="0073601C"/>
    <w:rsid w:val="0073627E"/>
    <w:rsid w:val="007362CB"/>
    <w:rsid w:val="00737638"/>
    <w:rsid w:val="0073787D"/>
    <w:rsid w:val="00740D9F"/>
    <w:rsid w:val="007410DB"/>
    <w:rsid w:val="0074150C"/>
    <w:rsid w:val="00741B9F"/>
    <w:rsid w:val="00741D71"/>
    <w:rsid w:val="00742616"/>
    <w:rsid w:val="00742657"/>
    <w:rsid w:val="00742ACF"/>
    <w:rsid w:val="00742F06"/>
    <w:rsid w:val="00742FA9"/>
    <w:rsid w:val="007431F4"/>
    <w:rsid w:val="00743240"/>
    <w:rsid w:val="007432DF"/>
    <w:rsid w:val="007438F7"/>
    <w:rsid w:val="00743C53"/>
    <w:rsid w:val="00744025"/>
    <w:rsid w:val="0074465C"/>
    <w:rsid w:val="007448F3"/>
    <w:rsid w:val="00744C0E"/>
    <w:rsid w:val="00744ED9"/>
    <w:rsid w:val="007450AD"/>
    <w:rsid w:val="0074547C"/>
    <w:rsid w:val="00745531"/>
    <w:rsid w:val="007458E1"/>
    <w:rsid w:val="00745C57"/>
    <w:rsid w:val="00745EC0"/>
    <w:rsid w:val="007467E7"/>
    <w:rsid w:val="007471DA"/>
    <w:rsid w:val="007474F1"/>
    <w:rsid w:val="007478FE"/>
    <w:rsid w:val="00747EB7"/>
    <w:rsid w:val="00750488"/>
    <w:rsid w:val="0075069C"/>
    <w:rsid w:val="00750C14"/>
    <w:rsid w:val="00750CF9"/>
    <w:rsid w:val="0075104F"/>
    <w:rsid w:val="0075248E"/>
    <w:rsid w:val="007527D5"/>
    <w:rsid w:val="00752966"/>
    <w:rsid w:val="007531E2"/>
    <w:rsid w:val="00753837"/>
    <w:rsid w:val="00753A1C"/>
    <w:rsid w:val="00753B83"/>
    <w:rsid w:val="007540C4"/>
    <w:rsid w:val="007548E4"/>
    <w:rsid w:val="0075516A"/>
    <w:rsid w:val="00755A77"/>
    <w:rsid w:val="00755BDF"/>
    <w:rsid w:val="00755D9F"/>
    <w:rsid w:val="00757313"/>
    <w:rsid w:val="00757BF0"/>
    <w:rsid w:val="007602D5"/>
    <w:rsid w:val="00760A00"/>
    <w:rsid w:val="007613C6"/>
    <w:rsid w:val="007614B6"/>
    <w:rsid w:val="00761AA0"/>
    <w:rsid w:val="007626E1"/>
    <w:rsid w:val="0076280A"/>
    <w:rsid w:val="00762B33"/>
    <w:rsid w:val="00762E13"/>
    <w:rsid w:val="007635F8"/>
    <w:rsid w:val="007637D9"/>
    <w:rsid w:val="00763ABA"/>
    <w:rsid w:val="00763DD4"/>
    <w:rsid w:val="00764084"/>
    <w:rsid w:val="007641FD"/>
    <w:rsid w:val="007643BF"/>
    <w:rsid w:val="00764ACE"/>
    <w:rsid w:val="00765CE7"/>
    <w:rsid w:val="00766B0D"/>
    <w:rsid w:val="00767844"/>
    <w:rsid w:val="00767A1A"/>
    <w:rsid w:val="007705F6"/>
    <w:rsid w:val="00770B5F"/>
    <w:rsid w:val="00770E31"/>
    <w:rsid w:val="0077100B"/>
    <w:rsid w:val="007713BD"/>
    <w:rsid w:val="007713DB"/>
    <w:rsid w:val="007714C8"/>
    <w:rsid w:val="00772116"/>
    <w:rsid w:val="00772C33"/>
    <w:rsid w:val="00772C47"/>
    <w:rsid w:val="00773083"/>
    <w:rsid w:val="0077324D"/>
    <w:rsid w:val="00773D15"/>
    <w:rsid w:val="007741FB"/>
    <w:rsid w:val="007744A0"/>
    <w:rsid w:val="00774CA5"/>
    <w:rsid w:val="0077568E"/>
    <w:rsid w:val="0077588B"/>
    <w:rsid w:val="00775BA2"/>
    <w:rsid w:val="00775BC3"/>
    <w:rsid w:val="00775BF1"/>
    <w:rsid w:val="00776770"/>
    <w:rsid w:val="00776B79"/>
    <w:rsid w:val="00777911"/>
    <w:rsid w:val="0078037F"/>
    <w:rsid w:val="0078039E"/>
    <w:rsid w:val="0078111F"/>
    <w:rsid w:val="007811EC"/>
    <w:rsid w:val="007814C7"/>
    <w:rsid w:val="00781666"/>
    <w:rsid w:val="007816F1"/>
    <w:rsid w:val="00782336"/>
    <w:rsid w:val="007823C9"/>
    <w:rsid w:val="00782534"/>
    <w:rsid w:val="00782841"/>
    <w:rsid w:val="00782EC1"/>
    <w:rsid w:val="0078310E"/>
    <w:rsid w:val="00783DE3"/>
    <w:rsid w:val="00783FE8"/>
    <w:rsid w:val="007841A3"/>
    <w:rsid w:val="007841A8"/>
    <w:rsid w:val="0078461D"/>
    <w:rsid w:val="007851D6"/>
    <w:rsid w:val="00785229"/>
    <w:rsid w:val="00785B9B"/>
    <w:rsid w:val="00785BE1"/>
    <w:rsid w:val="00785CA9"/>
    <w:rsid w:val="00785F68"/>
    <w:rsid w:val="00785FD5"/>
    <w:rsid w:val="007864AB"/>
    <w:rsid w:val="00787AB9"/>
    <w:rsid w:val="00787B66"/>
    <w:rsid w:val="0079071F"/>
    <w:rsid w:val="00791408"/>
    <w:rsid w:val="00791D87"/>
    <w:rsid w:val="00791F68"/>
    <w:rsid w:val="00792653"/>
    <w:rsid w:val="00792B55"/>
    <w:rsid w:val="007932A3"/>
    <w:rsid w:val="0079399B"/>
    <w:rsid w:val="00793A3A"/>
    <w:rsid w:val="0079456B"/>
    <w:rsid w:val="007946F9"/>
    <w:rsid w:val="00794970"/>
    <w:rsid w:val="0079518D"/>
    <w:rsid w:val="007954DE"/>
    <w:rsid w:val="0079570A"/>
    <w:rsid w:val="0079579B"/>
    <w:rsid w:val="0079586E"/>
    <w:rsid w:val="00795E9D"/>
    <w:rsid w:val="00796C26"/>
    <w:rsid w:val="00797351"/>
    <w:rsid w:val="007973A3"/>
    <w:rsid w:val="007A0402"/>
    <w:rsid w:val="007A0C16"/>
    <w:rsid w:val="007A0FBB"/>
    <w:rsid w:val="007A1FCA"/>
    <w:rsid w:val="007A2174"/>
    <w:rsid w:val="007A2E50"/>
    <w:rsid w:val="007A3820"/>
    <w:rsid w:val="007A3A24"/>
    <w:rsid w:val="007A3AED"/>
    <w:rsid w:val="007A3CCD"/>
    <w:rsid w:val="007A3DAB"/>
    <w:rsid w:val="007A3FBC"/>
    <w:rsid w:val="007A4267"/>
    <w:rsid w:val="007A4595"/>
    <w:rsid w:val="007A4E8F"/>
    <w:rsid w:val="007A506F"/>
    <w:rsid w:val="007A5186"/>
    <w:rsid w:val="007A5D87"/>
    <w:rsid w:val="007A5F98"/>
    <w:rsid w:val="007A6715"/>
    <w:rsid w:val="007A6AB0"/>
    <w:rsid w:val="007A7217"/>
    <w:rsid w:val="007A72CB"/>
    <w:rsid w:val="007A73AE"/>
    <w:rsid w:val="007A7A46"/>
    <w:rsid w:val="007A7B5A"/>
    <w:rsid w:val="007A7C3A"/>
    <w:rsid w:val="007B0BC1"/>
    <w:rsid w:val="007B0E82"/>
    <w:rsid w:val="007B1070"/>
    <w:rsid w:val="007B10C5"/>
    <w:rsid w:val="007B145C"/>
    <w:rsid w:val="007B1B0A"/>
    <w:rsid w:val="007B1F9B"/>
    <w:rsid w:val="007B288B"/>
    <w:rsid w:val="007B28EA"/>
    <w:rsid w:val="007B2C2C"/>
    <w:rsid w:val="007B3625"/>
    <w:rsid w:val="007B36D1"/>
    <w:rsid w:val="007B4A11"/>
    <w:rsid w:val="007B5271"/>
    <w:rsid w:val="007B540C"/>
    <w:rsid w:val="007B5AA6"/>
    <w:rsid w:val="007B6078"/>
    <w:rsid w:val="007B61CB"/>
    <w:rsid w:val="007B62C2"/>
    <w:rsid w:val="007B6A63"/>
    <w:rsid w:val="007B731E"/>
    <w:rsid w:val="007B788B"/>
    <w:rsid w:val="007B7CBF"/>
    <w:rsid w:val="007C0ABF"/>
    <w:rsid w:val="007C0B83"/>
    <w:rsid w:val="007C18FA"/>
    <w:rsid w:val="007C1C92"/>
    <w:rsid w:val="007C1F34"/>
    <w:rsid w:val="007C2595"/>
    <w:rsid w:val="007C28AB"/>
    <w:rsid w:val="007C298F"/>
    <w:rsid w:val="007C2B2D"/>
    <w:rsid w:val="007C2BA6"/>
    <w:rsid w:val="007C2C3C"/>
    <w:rsid w:val="007C358F"/>
    <w:rsid w:val="007C359B"/>
    <w:rsid w:val="007C37CD"/>
    <w:rsid w:val="007C3F6F"/>
    <w:rsid w:val="007C3FCA"/>
    <w:rsid w:val="007C4C20"/>
    <w:rsid w:val="007C4EA2"/>
    <w:rsid w:val="007C5618"/>
    <w:rsid w:val="007C5A09"/>
    <w:rsid w:val="007C6306"/>
    <w:rsid w:val="007C64F1"/>
    <w:rsid w:val="007C6BB5"/>
    <w:rsid w:val="007C7128"/>
    <w:rsid w:val="007C72D4"/>
    <w:rsid w:val="007C7499"/>
    <w:rsid w:val="007C76B7"/>
    <w:rsid w:val="007C7749"/>
    <w:rsid w:val="007C7887"/>
    <w:rsid w:val="007C79EA"/>
    <w:rsid w:val="007C7DBD"/>
    <w:rsid w:val="007D00AE"/>
    <w:rsid w:val="007D0592"/>
    <w:rsid w:val="007D0B90"/>
    <w:rsid w:val="007D0CF4"/>
    <w:rsid w:val="007D0DE4"/>
    <w:rsid w:val="007D1126"/>
    <w:rsid w:val="007D1227"/>
    <w:rsid w:val="007D1349"/>
    <w:rsid w:val="007D1A21"/>
    <w:rsid w:val="007D1E03"/>
    <w:rsid w:val="007D1F48"/>
    <w:rsid w:val="007D1F75"/>
    <w:rsid w:val="007D1FFB"/>
    <w:rsid w:val="007D2527"/>
    <w:rsid w:val="007D2B41"/>
    <w:rsid w:val="007D348F"/>
    <w:rsid w:val="007D355C"/>
    <w:rsid w:val="007D3B73"/>
    <w:rsid w:val="007D3EEB"/>
    <w:rsid w:val="007D425F"/>
    <w:rsid w:val="007D4272"/>
    <w:rsid w:val="007D42E7"/>
    <w:rsid w:val="007D4759"/>
    <w:rsid w:val="007D497A"/>
    <w:rsid w:val="007D58B3"/>
    <w:rsid w:val="007D5931"/>
    <w:rsid w:val="007D5C65"/>
    <w:rsid w:val="007D5FFF"/>
    <w:rsid w:val="007D688A"/>
    <w:rsid w:val="007D6B23"/>
    <w:rsid w:val="007D6F1A"/>
    <w:rsid w:val="007D71AE"/>
    <w:rsid w:val="007D7C16"/>
    <w:rsid w:val="007D7DD0"/>
    <w:rsid w:val="007D7F72"/>
    <w:rsid w:val="007E036D"/>
    <w:rsid w:val="007E06B7"/>
    <w:rsid w:val="007E07A4"/>
    <w:rsid w:val="007E08AF"/>
    <w:rsid w:val="007E0B57"/>
    <w:rsid w:val="007E0E82"/>
    <w:rsid w:val="007E27FF"/>
    <w:rsid w:val="007E2AD8"/>
    <w:rsid w:val="007E2EF8"/>
    <w:rsid w:val="007E369F"/>
    <w:rsid w:val="007E4717"/>
    <w:rsid w:val="007E49C7"/>
    <w:rsid w:val="007E4AE0"/>
    <w:rsid w:val="007E4B7D"/>
    <w:rsid w:val="007E4C31"/>
    <w:rsid w:val="007E50C2"/>
    <w:rsid w:val="007E644D"/>
    <w:rsid w:val="007E6487"/>
    <w:rsid w:val="007E6875"/>
    <w:rsid w:val="007E6A6F"/>
    <w:rsid w:val="007E6B8A"/>
    <w:rsid w:val="007E6C2B"/>
    <w:rsid w:val="007E77D5"/>
    <w:rsid w:val="007E78EC"/>
    <w:rsid w:val="007F1DBD"/>
    <w:rsid w:val="007F25D3"/>
    <w:rsid w:val="007F2C40"/>
    <w:rsid w:val="007F2E28"/>
    <w:rsid w:val="007F3872"/>
    <w:rsid w:val="007F3B45"/>
    <w:rsid w:val="007F4415"/>
    <w:rsid w:val="007F45EC"/>
    <w:rsid w:val="007F48F4"/>
    <w:rsid w:val="007F4BA2"/>
    <w:rsid w:val="007F4EC4"/>
    <w:rsid w:val="007F520B"/>
    <w:rsid w:val="007F56AD"/>
    <w:rsid w:val="007F5B26"/>
    <w:rsid w:val="007F5C28"/>
    <w:rsid w:val="007F62BC"/>
    <w:rsid w:val="007F62DC"/>
    <w:rsid w:val="007F639A"/>
    <w:rsid w:val="007F7162"/>
    <w:rsid w:val="007F7A03"/>
    <w:rsid w:val="007F7C57"/>
    <w:rsid w:val="007F7CC9"/>
    <w:rsid w:val="007F7DD0"/>
    <w:rsid w:val="00800541"/>
    <w:rsid w:val="00800CED"/>
    <w:rsid w:val="0080189D"/>
    <w:rsid w:val="0080199F"/>
    <w:rsid w:val="00801D8B"/>
    <w:rsid w:val="008020B8"/>
    <w:rsid w:val="0080222F"/>
    <w:rsid w:val="008027EF"/>
    <w:rsid w:val="0080284B"/>
    <w:rsid w:val="00803102"/>
    <w:rsid w:val="0080395D"/>
    <w:rsid w:val="00803E69"/>
    <w:rsid w:val="00805221"/>
    <w:rsid w:val="0080522C"/>
    <w:rsid w:val="0080636C"/>
    <w:rsid w:val="0080639F"/>
    <w:rsid w:val="008067D4"/>
    <w:rsid w:val="008069C4"/>
    <w:rsid w:val="008073D4"/>
    <w:rsid w:val="00807489"/>
    <w:rsid w:val="0080752D"/>
    <w:rsid w:val="00807B3E"/>
    <w:rsid w:val="00810338"/>
    <w:rsid w:val="008105F7"/>
    <w:rsid w:val="00810B23"/>
    <w:rsid w:val="008112A4"/>
    <w:rsid w:val="0081139D"/>
    <w:rsid w:val="0081155B"/>
    <w:rsid w:val="008118B2"/>
    <w:rsid w:val="00811A5C"/>
    <w:rsid w:val="00811A97"/>
    <w:rsid w:val="00811AC7"/>
    <w:rsid w:val="00811CCF"/>
    <w:rsid w:val="00811F3E"/>
    <w:rsid w:val="008123BC"/>
    <w:rsid w:val="0081271E"/>
    <w:rsid w:val="008127DA"/>
    <w:rsid w:val="008138E8"/>
    <w:rsid w:val="00814A6D"/>
    <w:rsid w:val="008164FB"/>
    <w:rsid w:val="0081655D"/>
    <w:rsid w:val="008166DE"/>
    <w:rsid w:val="00816E8E"/>
    <w:rsid w:val="00816F1C"/>
    <w:rsid w:val="008204A4"/>
    <w:rsid w:val="008205C3"/>
    <w:rsid w:val="008210BB"/>
    <w:rsid w:val="008212C0"/>
    <w:rsid w:val="00821420"/>
    <w:rsid w:val="008218DE"/>
    <w:rsid w:val="00821A47"/>
    <w:rsid w:val="0082270D"/>
    <w:rsid w:val="00822E5F"/>
    <w:rsid w:val="00823203"/>
    <w:rsid w:val="00823B87"/>
    <w:rsid w:val="008241DA"/>
    <w:rsid w:val="00824224"/>
    <w:rsid w:val="008246C0"/>
    <w:rsid w:val="00824985"/>
    <w:rsid w:val="008252D6"/>
    <w:rsid w:val="008258D9"/>
    <w:rsid w:val="00825A9D"/>
    <w:rsid w:val="00826558"/>
    <w:rsid w:val="00826615"/>
    <w:rsid w:val="00826DEA"/>
    <w:rsid w:val="00826E4F"/>
    <w:rsid w:val="0082727B"/>
    <w:rsid w:val="00827BBF"/>
    <w:rsid w:val="00831262"/>
    <w:rsid w:val="008316BA"/>
    <w:rsid w:val="00831C74"/>
    <w:rsid w:val="00832AA8"/>
    <w:rsid w:val="0083342B"/>
    <w:rsid w:val="008336FD"/>
    <w:rsid w:val="00833990"/>
    <w:rsid w:val="00834A3B"/>
    <w:rsid w:val="00834C97"/>
    <w:rsid w:val="00834C9E"/>
    <w:rsid w:val="00834FD2"/>
    <w:rsid w:val="00835406"/>
    <w:rsid w:val="00835414"/>
    <w:rsid w:val="0083577F"/>
    <w:rsid w:val="008363BA"/>
    <w:rsid w:val="00836614"/>
    <w:rsid w:val="00837117"/>
    <w:rsid w:val="008371A6"/>
    <w:rsid w:val="00837EF5"/>
    <w:rsid w:val="008405CE"/>
    <w:rsid w:val="00840DCD"/>
    <w:rsid w:val="00841867"/>
    <w:rsid w:val="00841A2B"/>
    <w:rsid w:val="00841C0B"/>
    <w:rsid w:val="00842619"/>
    <w:rsid w:val="00842841"/>
    <w:rsid w:val="00842B83"/>
    <w:rsid w:val="00842E5C"/>
    <w:rsid w:val="00842F75"/>
    <w:rsid w:val="00843211"/>
    <w:rsid w:val="0084338D"/>
    <w:rsid w:val="008435E7"/>
    <w:rsid w:val="00844177"/>
    <w:rsid w:val="0084433E"/>
    <w:rsid w:val="0084449F"/>
    <w:rsid w:val="00844538"/>
    <w:rsid w:val="008447EC"/>
    <w:rsid w:val="0084482B"/>
    <w:rsid w:val="00844F0C"/>
    <w:rsid w:val="00845090"/>
    <w:rsid w:val="00845284"/>
    <w:rsid w:val="008459FC"/>
    <w:rsid w:val="008468A5"/>
    <w:rsid w:val="008476AD"/>
    <w:rsid w:val="00847C56"/>
    <w:rsid w:val="00847ED2"/>
    <w:rsid w:val="00850523"/>
    <w:rsid w:val="00850920"/>
    <w:rsid w:val="00850C68"/>
    <w:rsid w:val="008514BF"/>
    <w:rsid w:val="00851749"/>
    <w:rsid w:val="00851B50"/>
    <w:rsid w:val="00852C18"/>
    <w:rsid w:val="00852E71"/>
    <w:rsid w:val="008531A3"/>
    <w:rsid w:val="008531FA"/>
    <w:rsid w:val="008532DF"/>
    <w:rsid w:val="00853366"/>
    <w:rsid w:val="00853601"/>
    <w:rsid w:val="00853806"/>
    <w:rsid w:val="00853B4D"/>
    <w:rsid w:val="00853D7E"/>
    <w:rsid w:val="00853E87"/>
    <w:rsid w:val="00855294"/>
    <w:rsid w:val="008552DD"/>
    <w:rsid w:val="0085530C"/>
    <w:rsid w:val="0085541F"/>
    <w:rsid w:val="00855C0D"/>
    <w:rsid w:val="008562F8"/>
    <w:rsid w:val="00856745"/>
    <w:rsid w:val="008568FB"/>
    <w:rsid w:val="00856AAE"/>
    <w:rsid w:val="0085733A"/>
    <w:rsid w:val="00857548"/>
    <w:rsid w:val="00857A8F"/>
    <w:rsid w:val="00857B3D"/>
    <w:rsid w:val="00857D76"/>
    <w:rsid w:val="00860016"/>
    <w:rsid w:val="0086014D"/>
    <w:rsid w:val="00860E34"/>
    <w:rsid w:val="00861429"/>
    <w:rsid w:val="008614BC"/>
    <w:rsid w:val="008616C3"/>
    <w:rsid w:val="00861F3E"/>
    <w:rsid w:val="008625A0"/>
    <w:rsid w:val="008627F5"/>
    <w:rsid w:val="00862820"/>
    <w:rsid w:val="008633B2"/>
    <w:rsid w:val="00863481"/>
    <w:rsid w:val="00863C8C"/>
    <w:rsid w:val="0086402A"/>
    <w:rsid w:val="008645F8"/>
    <w:rsid w:val="00864996"/>
    <w:rsid w:val="0086602A"/>
    <w:rsid w:val="00866AB4"/>
    <w:rsid w:val="00866BFA"/>
    <w:rsid w:val="008678B0"/>
    <w:rsid w:val="00867DFE"/>
    <w:rsid w:val="00867E6B"/>
    <w:rsid w:val="0087063D"/>
    <w:rsid w:val="00870994"/>
    <w:rsid w:val="00870A87"/>
    <w:rsid w:val="008715F2"/>
    <w:rsid w:val="00871DE7"/>
    <w:rsid w:val="00872992"/>
    <w:rsid w:val="00872CF3"/>
    <w:rsid w:val="008737EC"/>
    <w:rsid w:val="00873C1C"/>
    <w:rsid w:val="008746F8"/>
    <w:rsid w:val="00874AD0"/>
    <w:rsid w:val="00874D78"/>
    <w:rsid w:val="00875030"/>
    <w:rsid w:val="008767E8"/>
    <w:rsid w:val="00876F34"/>
    <w:rsid w:val="0087791A"/>
    <w:rsid w:val="00877BB5"/>
    <w:rsid w:val="00877BC1"/>
    <w:rsid w:val="0088028C"/>
    <w:rsid w:val="00880456"/>
    <w:rsid w:val="00880810"/>
    <w:rsid w:val="00880A93"/>
    <w:rsid w:val="008810EB"/>
    <w:rsid w:val="0088116A"/>
    <w:rsid w:val="008815D6"/>
    <w:rsid w:val="00881FA1"/>
    <w:rsid w:val="00882360"/>
    <w:rsid w:val="008828D9"/>
    <w:rsid w:val="00883114"/>
    <w:rsid w:val="00883151"/>
    <w:rsid w:val="008839B5"/>
    <w:rsid w:val="00883B36"/>
    <w:rsid w:val="00884114"/>
    <w:rsid w:val="0088482D"/>
    <w:rsid w:val="00884A0B"/>
    <w:rsid w:val="00884F5E"/>
    <w:rsid w:val="008856D1"/>
    <w:rsid w:val="0088587E"/>
    <w:rsid w:val="00885EE3"/>
    <w:rsid w:val="008865FA"/>
    <w:rsid w:val="00886AD1"/>
    <w:rsid w:val="0088782B"/>
    <w:rsid w:val="00887BD7"/>
    <w:rsid w:val="00890278"/>
    <w:rsid w:val="008905B9"/>
    <w:rsid w:val="008908D0"/>
    <w:rsid w:val="00890A3B"/>
    <w:rsid w:val="00890DA4"/>
    <w:rsid w:val="008914B5"/>
    <w:rsid w:val="00891B75"/>
    <w:rsid w:val="00893922"/>
    <w:rsid w:val="00893D53"/>
    <w:rsid w:val="00893E1E"/>
    <w:rsid w:val="00894543"/>
    <w:rsid w:val="008945DE"/>
    <w:rsid w:val="00894D34"/>
    <w:rsid w:val="00894D97"/>
    <w:rsid w:val="00894FC4"/>
    <w:rsid w:val="0089544B"/>
    <w:rsid w:val="00895738"/>
    <w:rsid w:val="00895848"/>
    <w:rsid w:val="00895961"/>
    <w:rsid w:val="00895F29"/>
    <w:rsid w:val="008960B4"/>
    <w:rsid w:val="008960BB"/>
    <w:rsid w:val="0089624B"/>
    <w:rsid w:val="008969D5"/>
    <w:rsid w:val="00897039"/>
    <w:rsid w:val="00897A0E"/>
    <w:rsid w:val="008A092F"/>
    <w:rsid w:val="008A102A"/>
    <w:rsid w:val="008A1482"/>
    <w:rsid w:val="008A14A4"/>
    <w:rsid w:val="008A14FA"/>
    <w:rsid w:val="008A1FF6"/>
    <w:rsid w:val="008A2042"/>
    <w:rsid w:val="008A283E"/>
    <w:rsid w:val="008A292D"/>
    <w:rsid w:val="008A3735"/>
    <w:rsid w:val="008A3769"/>
    <w:rsid w:val="008A3996"/>
    <w:rsid w:val="008A3C4F"/>
    <w:rsid w:val="008A3D44"/>
    <w:rsid w:val="008A4144"/>
    <w:rsid w:val="008A457C"/>
    <w:rsid w:val="008A4899"/>
    <w:rsid w:val="008A4A8C"/>
    <w:rsid w:val="008A4DCF"/>
    <w:rsid w:val="008A517D"/>
    <w:rsid w:val="008A624A"/>
    <w:rsid w:val="008A633D"/>
    <w:rsid w:val="008A7DA3"/>
    <w:rsid w:val="008A7FFD"/>
    <w:rsid w:val="008B074E"/>
    <w:rsid w:val="008B08F3"/>
    <w:rsid w:val="008B0BA7"/>
    <w:rsid w:val="008B0BB5"/>
    <w:rsid w:val="008B0C10"/>
    <w:rsid w:val="008B0EAB"/>
    <w:rsid w:val="008B2299"/>
    <w:rsid w:val="008B2AE7"/>
    <w:rsid w:val="008B3053"/>
    <w:rsid w:val="008B32F4"/>
    <w:rsid w:val="008B3A96"/>
    <w:rsid w:val="008B3EC6"/>
    <w:rsid w:val="008B456A"/>
    <w:rsid w:val="008B543E"/>
    <w:rsid w:val="008B593D"/>
    <w:rsid w:val="008B5CCF"/>
    <w:rsid w:val="008B6182"/>
    <w:rsid w:val="008B6194"/>
    <w:rsid w:val="008B6BBC"/>
    <w:rsid w:val="008B73A9"/>
    <w:rsid w:val="008C0218"/>
    <w:rsid w:val="008C0365"/>
    <w:rsid w:val="008C044B"/>
    <w:rsid w:val="008C0A03"/>
    <w:rsid w:val="008C0A9B"/>
    <w:rsid w:val="008C1D48"/>
    <w:rsid w:val="008C1F97"/>
    <w:rsid w:val="008C20AE"/>
    <w:rsid w:val="008C234C"/>
    <w:rsid w:val="008C2BCB"/>
    <w:rsid w:val="008C3670"/>
    <w:rsid w:val="008C382A"/>
    <w:rsid w:val="008C3968"/>
    <w:rsid w:val="008C3B1A"/>
    <w:rsid w:val="008C3D9E"/>
    <w:rsid w:val="008C4753"/>
    <w:rsid w:val="008C4C51"/>
    <w:rsid w:val="008C5763"/>
    <w:rsid w:val="008C5BD0"/>
    <w:rsid w:val="008C62EC"/>
    <w:rsid w:val="008C67E6"/>
    <w:rsid w:val="008C7A58"/>
    <w:rsid w:val="008C7DFC"/>
    <w:rsid w:val="008D03B7"/>
    <w:rsid w:val="008D0685"/>
    <w:rsid w:val="008D08DB"/>
    <w:rsid w:val="008D0E0F"/>
    <w:rsid w:val="008D1817"/>
    <w:rsid w:val="008D1EDE"/>
    <w:rsid w:val="008D27DA"/>
    <w:rsid w:val="008D2A56"/>
    <w:rsid w:val="008D341C"/>
    <w:rsid w:val="008D4BB6"/>
    <w:rsid w:val="008D5599"/>
    <w:rsid w:val="008D5823"/>
    <w:rsid w:val="008D596B"/>
    <w:rsid w:val="008D5B40"/>
    <w:rsid w:val="008D5B96"/>
    <w:rsid w:val="008D62E5"/>
    <w:rsid w:val="008D6639"/>
    <w:rsid w:val="008D69C3"/>
    <w:rsid w:val="008D7051"/>
    <w:rsid w:val="008D71E3"/>
    <w:rsid w:val="008D7815"/>
    <w:rsid w:val="008E00B2"/>
    <w:rsid w:val="008E0395"/>
    <w:rsid w:val="008E0665"/>
    <w:rsid w:val="008E0E00"/>
    <w:rsid w:val="008E10B0"/>
    <w:rsid w:val="008E1416"/>
    <w:rsid w:val="008E15AD"/>
    <w:rsid w:val="008E1F6C"/>
    <w:rsid w:val="008E1FE4"/>
    <w:rsid w:val="008E3FD0"/>
    <w:rsid w:val="008E534D"/>
    <w:rsid w:val="008E54DF"/>
    <w:rsid w:val="008E5584"/>
    <w:rsid w:val="008E5AEE"/>
    <w:rsid w:val="008E6125"/>
    <w:rsid w:val="008E6650"/>
    <w:rsid w:val="008E677C"/>
    <w:rsid w:val="008E6CB1"/>
    <w:rsid w:val="008E714A"/>
    <w:rsid w:val="008E7730"/>
    <w:rsid w:val="008F0286"/>
    <w:rsid w:val="008F0306"/>
    <w:rsid w:val="008F05D3"/>
    <w:rsid w:val="008F0862"/>
    <w:rsid w:val="008F0BAB"/>
    <w:rsid w:val="008F0CEA"/>
    <w:rsid w:val="008F0FAB"/>
    <w:rsid w:val="008F117D"/>
    <w:rsid w:val="008F1E5C"/>
    <w:rsid w:val="008F2087"/>
    <w:rsid w:val="008F271D"/>
    <w:rsid w:val="008F2760"/>
    <w:rsid w:val="008F284F"/>
    <w:rsid w:val="008F2B35"/>
    <w:rsid w:val="008F3A52"/>
    <w:rsid w:val="008F3D28"/>
    <w:rsid w:val="008F3FDF"/>
    <w:rsid w:val="008F4294"/>
    <w:rsid w:val="008F45FB"/>
    <w:rsid w:val="008F5075"/>
    <w:rsid w:val="008F5867"/>
    <w:rsid w:val="008F5A48"/>
    <w:rsid w:val="008F652D"/>
    <w:rsid w:val="008F6C9C"/>
    <w:rsid w:val="008F6E9C"/>
    <w:rsid w:val="008F7124"/>
    <w:rsid w:val="008F7C9E"/>
    <w:rsid w:val="009000E0"/>
    <w:rsid w:val="009001C6"/>
    <w:rsid w:val="00900719"/>
    <w:rsid w:val="00900EB0"/>
    <w:rsid w:val="009015A3"/>
    <w:rsid w:val="0090183B"/>
    <w:rsid w:val="009019E5"/>
    <w:rsid w:val="00901C5A"/>
    <w:rsid w:val="00901D62"/>
    <w:rsid w:val="009023F5"/>
    <w:rsid w:val="009029BB"/>
    <w:rsid w:val="00902C11"/>
    <w:rsid w:val="00902EB8"/>
    <w:rsid w:val="00902EBE"/>
    <w:rsid w:val="00902F14"/>
    <w:rsid w:val="0090301A"/>
    <w:rsid w:val="0090312C"/>
    <w:rsid w:val="009036A8"/>
    <w:rsid w:val="009038BA"/>
    <w:rsid w:val="00903DCF"/>
    <w:rsid w:val="009042DF"/>
    <w:rsid w:val="00904597"/>
    <w:rsid w:val="009046CC"/>
    <w:rsid w:val="009058C8"/>
    <w:rsid w:val="00906473"/>
    <w:rsid w:val="00906FAB"/>
    <w:rsid w:val="00907033"/>
    <w:rsid w:val="009074E6"/>
    <w:rsid w:val="00907580"/>
    <w:rsid w:val="00907E0B"/>
    <w:rsid w:val="00910C78"/>
    <w:rsid w:val="00910D01"/>
    <w:rsid w:val="00911992"/>
    <w:rsid w:val="00911C6E"/>
    <w:rsid w:val="009127C4"/>
    <w:rsid w:val="00913545"/>
    <w:rsid w:val="00913E43"/>
    <w:rsid w:val="00914C40"/>
    <w:rsid w:val="00915063"/>
    <w:rsid w:val="009153D2"/>
    <w:rsid w:val="00915428"/>
    <w:rsid w:val="00915445"/>
    <w:rsid w:val="0091595D"/>
    <w:rsid w:val="009162DF"/>
    <w:rsid w:val="00916591"/>
    <w:rsid w:val="00917FEF"/>
    <w:rsid w:val="00920685"/>
    <w:rsid w:val="009206F5"/>
    <w:rsid w:val="00920925"/>
    <w:rsid w:val="00921084"/>
    <w:rsid w:val="00921F98"/>
    <w:rsid w:val="009228B0"/>
    <w:rsid w:val="00922B7B"/>
    <w:rsid w:val="00922BF9"/>
    <w:rsid w:val="00922E47"/>
    <w:rsid w:val="00923FF1"/>
    <w:rsid w:val="00924141"/>
    <w:rsid w:val="00925C4B"/>
    <w:rsid w:val="00925E56"/>
    <w:rsid w:val="00925FA6"/>
    <w:rsid w:val="00926032"/>
    <w:rsid w:val="009269B0"/>
    <w:rsid w:val="00926CBC"/>
    <w:rsid w:val="00926EF1"/>
    <w:rsid w:val="009271A1"/>
    <w:rsid w:val="00927D6F"/>
    <w:rsid w:val="00930745"/>
    <w:rsid w:val="00930DA8"/>
    <w:rsid w:val="00931190"/>
    <w:rsid w:val="009311CB"/>
    <w:rsid w:val="00931499"/>
    <w:rsid w:val="00932ADC"/>
    <w:rsid w:val="00932F5D"/>
    <w:rsid w:val="00933A77"/>
    <w:rsid w:val="00933E06"/>
    <w:rsid w:val="00933EF9"/>
    <w:rsid w:val="009348E8"/>
    <w:rsid w:val="00934DFA"/>
    <w:rsid w:val="00935221"/>
    <w:rsid w:val="00935238"/>
    <w:rsid w:val="00935FEB"/>
    <w:rsid w:val="009362FC"/>
    <w:rsid w:val="0093690C"/>
    <w:rsid w:val="00936A63"/>
    <w:rsid w:val="00936BBD"/>
    <w:rsid w:val="00936BFD"/>
    <w:rsid w:val="00936F8B"/>
    <w:rsid w:val="009372DB"/>
    <w:rsid w:val="00937372"/>
    <w:rsid w:val="00937BED"/>
    <w:rsid w:val="009401CA"/>
    <w:rsid w:val="009405C2"/>
    <w:rsid w:val="00940D6C"/>
    <w:rsid w:val="009415BE"/>
    <w:rsid w:val="009415C2"/>
    <w:rsid w:val="0094223D"/>
    <w:rsid w:val="00942320"/>
    <w:rsid w:val="009425BB"/>
    <w:rsid w:val="00942EE2"/>
    <w:rsid w:val="00942EE4"/>
    <w:rsid w:val="00943856"/>
    <w:rsid w:val="00943BB9"/>
    <w:rsid w:val="00943E71"/>
    <w:rsid w:val="00943EE9"/>
    <w:rsid w:val="0094420B"/>
    <w:rsid w:val="009443B9"/>
    <w:rsid w:val="009446B2"/>
    <w:rsid w:val="00944820"/>
    <w:rsid w:val="00944FAD"/>
    <w:rsid w:val="009450AE"/>
    <w:rsid w:val="009453A7"/>
    <w:rsid w:val="00945B22"/>
    <w:rsid w:val="009461A1"/>
    <w:rsid w:val="009461E2"/>
    <w:rsid w:val="00946646"/>
    <w:rsid w:val="009466EE"/>
    <w:rsid w:val="009469A2"/>
    <w:rsid w:val="00947BA0"/>
    <w:rsid w:val="00947C86"/>
    <w:rsid w:val="00947F5A"/>
    <w:rsid w:val="00950835"/>
    <w:rsid w:val="00950A8A"/>
    <w:rsid w:val="00950CE5"/>
    <w:rsid w:val="00951033"/>
    <w:rsid w:val="00951D7C"/>
    <w:rsid w:val="009523DA"/>
    <w:rsid w:val="009526F4"/>
    <w:rsid w:val="0095279D"/>
    <w:rsid w:val="00952CA6"/>
    <w:rsid w:val="00952E13"/>
    <w:rsid w:val="00952EE3"/>
    <w:rsid w:val="009545B3"/>
    <w:rsid w:val="00954702"/>
    <w:rsid w:val="0095496D"/>
    <w:rsid w:val="00954E95"/>
    <w:rsid w:val="00955050"/>
    <w:rsid w:val="00955246"/>
    <w:rsid w:val="00955FF8"/>
    <w:rsid w:val="009560B9"/>
    <w:rsid w:val="009564A9"/>
    <w:rsid w:val="00956684"/>
    <w:rsid w:val="009571C1"/>
    <w:rsid w:val="0095741F"/>
    <w:rsid w:val="00957504"/>
    <w:rsid w:val="00957936"/>
    <w:rsid w:val="00957AC2"/>
    <w:rsid w:val="00957F74"/>
    <w:rsid w:val="00960C09"/>
    <w:rsid w:val="00960CED"/>
    <w:rsid w:val="00961A6C"/>
    <w:rsid w:val="00961AD8"/>
    <w:rsid w:val="00962068"/>
    <w:rsid w:val="00962750"/>
    <w:rsid w:val="00962D03"/>
    <w:rsid w:val="0096302D"/>
    <w:rsid w:val="00963186"/>
    <w:rsid w:val="0096328F"/>
    <w:rsid w:val="0096334D"/>
    <w:rsid w:val="00963448"/>
    <w:rsid w:val="00963727"/>
    <w:rsid w:val="00963CED"/>
    <w:rsid w:val="00964022"/>
    <w:rsid w:val="00964208"/>
    <w:rsid w:val="00965015"/>
    <w:rsid w:val="00966824"/>
    <w:rsid w:val="00966CAE"/>
    <w:rsid w:val="00967076"/>
    <w:rsid w:val="009676E3"/>
    <w:rsid w:val="00967A20"/>
    <w:rsid w:val="00967DD5"/>
    <w:rsid w:val="00970205"/>
    <w:rsid w:val="00970900"/>
    <w:rsid w:val="0097096F"/>
    <w:rsid w:val="00971F98"/>
    <w:rsid w:val="00971FA2"/>
    <w:rsid w:val="009721C2"/>
    <w:rsid w:val="00972DF2"/>
    <w:rsid w:val="0097302F"/>
    <w:rsid w:val="00973155"/>
    <w:rsid w:val="009736AF"/>
    <w:rsid w:val="009739F4"/>
    <w:rsid w:val="00973E3D"/>
    <w:rsid w:val="00975399"/>
    <w:rsid w:val="00975D9E"/>
    <w:rsid w:val="0097692A"/>
    <w:rsid w:val="0097707D"/>
    <w:rsid w:val="009772A4"/>
    <w:rsid w:val="0097776A"/>
    <w:rsid w:val="00980210"/>
    <w:rsid w:val="009803DE"/>
    <w:rsid w:val="0098053C"/>
    <w:rsid w:val="00980551"/>
    <w:rsid w:val="00980805"/>
    <w:rsid w:val="00980824"/>
    <w:rsid w:val="00980F6E"/>
    <w:rsid w:val="00980FDC"/>
    <w:rsid w:val="00981B7C"/>
    <w:rsid w:val="0098204F"/>
    <w:rsid w:val="009823E8"/>
    <w:rsid w:val="00982613"/>
    <w:rsid w:val="0098283B"/>
    <w:rsid w:val="0098402D"/>
    <w:rsid w:val="009841D0"/>
    <w:rsid w:val="0098428E"/>
    <w:rsid w:val="009843B7"/>
    <w:rsid w:val="00984710"/>
    <w:rsid w:val="00984833"/>
    <w:rsid w:val="009856BE"/>
    <w:rsid w:val="009859C6"/>
    <w:rsid w:val="00985B81"/>
    <w:rsid w:val="00985DF1"/>
    <w:rsid w:val="00986285"/>
    <w:rsid w:val="00986561"/>
    <w:rsid w:val="00986670"/>
    <w:rsid w:val="00987530"/>
    <w:rsid w:val="00987A30"/>
    <w:rsid w:val="0099012C"/>
    <w:rsid w:val="00990144"/>
    <w:rsid w:val="00990761"/>
    <w:rsid w:val="00991114"/>
    <w:rsid w:val="00991561"/>
    <w:rsid w:val="00991837"/>
    <w:rsid w:val="00992027"/>
    <w:rsid w:val="00992C46"/>
    <w:rsid w:val="00992CB9"/>
    <w:rsid w:val="0099332A"/>
    <w:rsid w:val="009940E6"/>
    <w:rsid w:val="009941E8"/>
    <w:rsid w:val="00994856"/>
    <w:rsid w:val="009952CF"/>
    <w:rsid w:val="00995AA0"/>
    <w:rsid w:val="0099607F"/>
    <w:rsid w:val="00996733"/>
    <w:rsid w:val="009968D4"/>
    <w:rsid w:val="009970D7"/>
    <w:rsid w:val="0099765E"/>
    <w:rsid w:val="00997833"/>
    <w:rsid w:val="00997B79"/>
    <w:rsid w:val="00997EBD"/>
    <w:rsid w:val="009A0BF1"/>
    <w:rsid w:val="009A1DF8"/>
    <w:rsid w:val="009A2210"/>
    <w:rsid w:val="009A2D3F"/>
    <w:rsid w:val="009A2D6E"/>
    <w:rsid w:val="009A35D3"/>
    <w:rsid w:val="009A3F4C"/>
    <w:rsid w:val="009A3F66"/>
    <w:rsid w:val="009A42B2"/>
    <w:rsid w:val="009A42F9"/>
    <w:rsid w:val="009A4949"/>
    <w:rsid w:val="009A4AD4"/>
    <w:rsid w:val="009A4F4D"/>
    <w:rsid w:val="009A57EF"/>
    <w:rsid w:val="009A5E0A"/>
    <w:rsid w:val="009A5FCC"/>
    <w:rsid w:val="009A632A"/>
    <w:rsid w:val="009A6355"/>
    <w:rsid w:val="009A6BB4"/>
    <w:rsid w:val="009A6DBE"/>
    <w:rsid w:val="009A7211"/>
    <w:rsid w:val="009A7B6D"/>
    <w:rsid w:val="009B0209"/>
    <w:rsid w:val="009B02D7"/>
    <w:rsid w:val="009B0346"/>
    <w:rsid w:val="009B0891"/>
    <w:rsid w:val="009B112B"/>
    <w:rsid w:val="009B145D"/>
    <w:rsid w:val="009B3218"/>
    <w:rsid w:val="009B3223"/>
    <w:rsid w:val="009B35C8"/>
    <w:rsid w:val="009B387C"/>
    <w:rsid w:val="009B393A"/>
    <w:rsid w:val="009B3CBD"/>
    <w:rsid w:val="009B3FB5"/>
    <w:rsid w:val="009B4779"/>
    <w:rsid w:val="009B4D5A"/>
    <w:rsid w:val="009B4D75"/>
    <w:rsid w:val="009B4DDB"/>
    <w:rsid w:val="009B586E"/>
    <w:rsid w:val="009B6492"/>
    <w:rsid w:val="009B697B"/>
    <w:rsid w:val="009B6F45"/>
    <w:rsid w:val="009B6FF9"/>
    <w:rsid w:val="009B71D8"/>
    <w:rsid w:val="009B740F"/>
    <w:rsid w:val="009B7615"/>
    <w:rsid w:val="009B7A00"/>
    <w:rsid w:val="009B7ADC"/>
    <w:rsid w:val="009B7DC7"/>
    <w:rsid w:val="009C04A4"/>
    <w:rsid w:val="009C06E6"/>
    <w:rsid w:val="009C0941"/>
    <w:rsid w:val="009C0B15"/>
    <w:rsid w:val="009C0B5E"/>
    <w:rsid w:val="009C0BE8"/>
    <w:rsid w:val="009C1192"/>
    <w:rsid w:val="009C173E"/>
    <w:rsid w:val="009C1904"/>
    <w:rsid w:val="009C19B3"/>
    <w:rsid w:val="009C1F21"/>
    <w:rsid w:val="009C286C"/>
    <w:rsid w:val="009C2B58"/>
    <w:rsid w:val="009C2E40"/>
    <w:rsid w:val="009C30FE"/>
    <w:rsid w:val="009C3184"/>
    <w:rsid w:val="009C3449"/>
    <w:rsid w:val="009C3A68"/>
    <w:rsid w:val="009C4B55"/>
    <w:rsid w:val="009C4FE1"/>
    <w:rsid w:val="009C50B2"/>
    <w:rsid w:val="009C639D"/>
    <w:rsid w:val="009C6563"/>
    <w:rsid w:val="009C7CCE"/>
    <w:rsid w:val="009D0794"/>
    <w:rsid w:val="009D0A7E"/>
    <w:rsid w:val="009D0AD0"/>
    <w:rsid w:val="009D0B87"/>
    <w:rsid w:val="009D119F"/>
    <w:rsid w:val="009D1AB6"/>
    <w:rsid w:val="009D1DF5"/>
    <w:rsid w:val="009D2043"/>
    <w:rsid w:val="009D2347"/>
    <w:rsid w:val="009D29D2"/>
    <w:rsid w:val="009D2A12"/>
    <w:rsid w:val="009D2BB8"/>
    <w:rsid w:val="009D2C05"/>
    <w:rsid w:val="009D2DB1"/>
    <w:rsid w:val="009D2F1D"/>
    <w:rsid w:val="009D338A"/>
    <w:rsid w:val="009D4349"/>
    <w:rsid w:val="009D449E"/>
    <w:rsid w:val="009D49E9"/>
    <w:rsid w:val="009D4F59"/>
    <w:rsid w:val="009D5EF9"/>
    <w:rsid w:val="009D6013"/>
    <w:rsid w:val="009D62C9"/>
    <w:rsid w:val="009D7A5B"/>
    <w:rsid w:val="009E0504"/>
    <w:rsid w:val="009E06DA"/>
    <w:rsid w:val="009E0CC7"/>
    <w:rsid w:val="009E12CD"/>
    <w:rsid w:val="009E1D1B"/>
    <w:rsid w:val="009E1DCD"/>
    <w:rsid w:val="009E1F94"/>
    <w:rsid w:val="009E271F"/>
    <w:rsid w:val="009E2945"/>
    <w:rsid w:val="009E29EC"/>
    <w:rsid w:val="009E2C9D"/>
    <w:rsid w:val="009E2F6E"/>
    <w:rsid w:val="009E3531"/>
    <w:rsid w:val="009E36FC"/>
    <w:rsid w:val="009E37B8"/>
    <w:rsid w:val="009E4222"/>
    <w:rsid w:val="009E4413"/>
    <w:rsid w:val="009E48D1"/>
    <w:rsid w:val="009E4956"/>
    <w:rsid w:val="009E4F06"/>
    <w:rsid w:val="009E5213"/>
    <w:rsid w:val="009E546B"/>
    <w:rsid w:val="009E598D"/>
    <w:rsid w:val="009E5CAD"/>
    <w:rsid w:val="009E6100"/>
    <w:rsid w:val="009E61AC"/>
    <w:rsid w:val="009E655C"/>
    <w:rsid w:val="009E6CD1"/>
    <w:rsid w:val="009E6FA1"/>
    <w:rsid w:val="009E7A6C"/>
    <w:rsid w:val="009F0D93"/>
    <w:rsid w:val="009F0EA8"/>
    <w:rsid w:val="009F25D6"/>
    <w:rsid w:val="009F26F0"/>
    <w:rsid w:val="009F2D8C"/>
    <w:rsid w:val="009F4049"/>
    <w:rsid w:val="009F4136"/>
    <w:rsid w:val="009F4773"/>
    <w:rsid w:val="009F47D3"/>
    <w:rsid w:val="009F48CA"/>
    <w:rsid w:val="009F4A40"/>
    <w:rsid w:val="009F55B0"/>
    <w:rsid w:val="009F5852"/>
    <w:rsid w:val="009F6338"/>
    <w:rsid w:val="009F6F4E"/>
    <w:rsid w:val="009F7519"/>
    <w:rsid w:val="009F77C5"/>
    <w:rsid w:val="009F7B5C"/>
    <w:rsid w:val="009F7F28"/>
    <w:rsid w:val="00A007F2"/>
    <w:rsid w:val="00A00AA2"/>
    <w:rsid w:val="00A010B8"/>
    <w:rsid w:val="00A01996"/>
    <w:rsid w:val="00A0231A"/>
    <w:rsid w:val="00A02F39"/>
    <w:rsid w:val="00A032F6"/>
    <w:rsid w:val="00A04118"/>
    <w:rsid w:val="00A04551"/>
    <w:rsid w:val="00A0623B"/>
    <w:rsid w:val="00A06B59"/>
    <w:rsid w:val="00A07537"/>
    <w:rsid w:val="00A076D7"/>
    <w:rsid w:val="00A07D16"/>
    <w:rsid w:val="00A10475"/>
    <w:rsid w:val="00A105D6"/>
    <w:rsid w:val="00A10679"/>
    <w:rsid w:val="00A106F7"/>
    <w:rsid w:val="00A115F1"/>
    <w:rsid w:val="00A119F8"/>
    <w:rsid w:val="00A11DBA"/>
    <w:rsid w:val="00A11F88"/>
    <w:rsid w:val="00A122BD"/>
    <w:rsid w:val="00A1294A"/>
    <w:rsid w:val="00A12A89"/>
    <w:rsid w:val="00A12D6C"/>
    <w:rsid w:val="00A13A8C"/>
    <w:rsid w:val="00A147EF"/>
    <w:rsid w:val="00A147F4"/>
    <w:rsid w:val="00A15191"/>
    <w:rsid w:val="00A15422"/>
    <w:rsid w:val="00A158A0"/>
    <w:rsid w:val="00A16ECD"/>
    <w:rsid w:val="00A16F2D"/>
    <w:rsid w:val="00A1742F"/>
    <w:rsid w:val="00A177AE"/>
    <w:rsid w:val="00A17E06"/>
    <w:rsid w:val="00A17ED5"/>
    <w:rsid w:val="00A202C9"/>
    <w:rsid w:val="00A207D5"/>
    <w:rsid w:val="00A20D1A"/>
    <w:rsid w:val="00A20E13"/>
    <w:rsid w:val="00A22174"/>
    <w:rsid w:val="00A22276"/>
    <w:rsid w:val="00A22EAD"/>
    <w:rsid w:val="00A23173"/>
    <w:rsid w:val="00A23583"/>
    <w:rsid w:val="00A23CF8"/>
    <w:rsid w:val="00A23DD0"/>
    <w:rsid w:val="00A23E3A"/>
    <w:rsid w:val="00A24643"/>
    <w:rsid w:val="00A249B5"/>
    <w:rsid w:val="00A25309"/>
    <w:rsid w:val="00A25FBA"/>
    <w:rsid w:val="00A26273"/>
    <w:rsid w:val="00A26A07"/>
    <w:rsid w:val="00A26BC2"/>
    <w:rsid w:val="00A26C48"/>
    <w:rsid w:val="00A270D8"/>
    <w:rsid w:val="00A27307"/>
    <w:rsid w:val="00A27505"/>
    <w:rsid w:val="00A27D69"/>
    <w:rsid w:val="00A301F4"/>
    <w:rsid w:val="00A314B9"/>
    <w:rsid w:val="00A319C6"/>
    <w:rsid w:val="00A31E07"/>
    <w:rsid w:val="00A31E45"/>
    <w:rsid w:val="00A32287"/>
    <w:rsid w:val="00A32612"/>
    <w:rsid w:val="00A32B00"/>
    <w:rsid w:val="00A32CE8"/>
    <w:rsid w:val="00A34027"/>
    <w:rsid w:val="00A3402E"/>
    <w:rsid w:val="00A342EA"/>
    <w:rsid w:val="00A353B9"/>
    <w:rsid w:val="00A35EB5"/>
    <w:rsid w:val="00A363C9"/>
    <w:rsid w:val="00A3724B"/>
    <w:rsid w:val="00A373E5"/>
    <w:rsid w:val="00A375F9"/>
    <w:rsid w:val="00A40417"/>
    <w:rsid w:val="00A40E60"/>
    <w:rsid w:val="00A40E8D"/>
    <w:rsid w:val="00A4167B"/>
    <w:rsid w:val="00A41E0B"/>
    <w:rsid w:val="00A42327"/>
    <w:rsid w:val="00A430B3"/>
    <w:rsid w:val="00A43325"/>
    <w:rsid w:val="00A43BC0"/>
    <w:rsid w:val="00A43E4F"/>
    <w:rsid w:val="00A44393"/>
    <w:rsid w:val="00A44D91"/>
    <w:rsid w:val="00A453BB"/>
    <w:rsid w:val="00A45641"/>
    <w:rsid w:val="00A45647"/>
    <w:rsid w:val="00A46143"/>
    <w:rsid w:val="00A462DC"/>
    <w:rsid w:val="00A46902"/>
    <w:rsid w:val="00A4795C"/>
    <w:rsid w:val="00A479B4"/>
    <w:rsid w:val="00A5010B"/>
    <w:rsid w:val="00A51550"/>
    <w:rsid w:val="00A519E2"/>
    <w:rsid w:val="00A51D60"/>
    <w:rsid w:val="00A51DCF"/>
    <w:rsid w:val="00A52098"/>
    <w:rsid w:val="00A52615"/>
    <w:rsid w:val="00A52808"/>
    <w:rsid w:val="00A52A6D"/>
    <w:rsid w:val="00A53621"/>
    <w:rsid w:val="00A53B21"/>
    <w:rsid w:val="00A53B5E"/>
    <w:rsid w:val="00A54087"/>
    <w:rsid w:val="00A54270"/>
    <w:rsid w:val="00A54298"/>
    <w:rsid w:val="00A55563"/>
    <w:rsid w:val="00A55E6D"/>
    <w:rsid w:val="00A56551"/>
    <w:rsid w:val="00A56B9A"/>
    <w:rsid w:val="00A57625"/>
    <w:rsid w:val="00A577A1"/>
    <w:rsid w:val="00A57AEE"/>
    <w:rsid w:val="00A6070F"/>
    <w:rsid w:val="00A60DEB"/>
    <w:rsid w:val="00A60FED"/>
    <w:rsid w:val="00A61022"/>
    <w:rsid w:val="00A612DD"/>
    <w:rsid w:val="00A61FCD"/>
    <w:rsid w:val="00A624AD"/>
    <w:rsid w:val="00A629F4"/>
    <w:rsid w:val="00A62EEF"/>
    <w:rsid w:val="00A62FFF"/>
    <w:rsid w:val="00A63281"/>
    <w:rsid w:val="00A63A14"/>
    <w:rsid w:val="00A63F2B"/>
    <w:rsid w:val="00A640A0"/>
    <w:rsid w:val="00A64235"/>
    <w:rsid w:val="00A643CA"/>
    <w:rsid w:val="00A6470F"/>
    <w:rsid w:val="00A64FF5"/>
    <w:rsid w:val="00A657F8"/>
    <w:rsid w:val="00A659F1"/>
    <w:rsid w:val="00A65B46"/>
    <w:rsid w:val="00A65CA3"/>
    <w:rsid w:val="00A65F63"/>
    <w:rsid w:val="00A6649D"/>
    <w:rsid w:val="00A665C5"/>
    <w:rsid w:val="00A66607"/>
    <w:rsid w:val="00A6662D"/>
    <w:rsid w:val="00A666CA"/>
    <w:rsid w:val="00A66E4B"/>
    <w:rsid w:val="00A66F91"/>
    <w:rsid w:val="00A672A7"/>
    <w:rsid w:val="00A675E5"/>
    <w:rsid w:val="00A67DB6"/>
    <w:rsid w:val="00A70101"/>
    <w:rsid w:val="00A70118"/>
    <w:rsid w:val="00A70861"/>
    <w:rsid w:val="00A708AB"/>
    <w:rsid w:val="00A711DF"/>
    <w:rsid w:val="00A712A5"/>
    <w:rsid w:val="00A73291"/>
    <w:rsid w:val="00A732B1"/>
    <w:rsid w:val="00A7345E"/>
    <w:rsid w:val="00A73E87"/>
    <w:rsid w:val="00A7453A"/>
    <w:rsid w:val="00A75172"/>
    <w:rsid w:val="00A7575D"/>
    <w:rsid w:val="00A75976"/>
    <w:rsid w:val="00A760A1"/>
    <w:rsid w:val="00A761DE"/>
    <w:rsid w:val="00A762D8"/>
    <w:rsid w:val="00A7669D"/>
    <w:rsid w:val="00A768E9"/>
    <w:rsid w:val="00A76A0C"/>
    <w:rsid w:val="00A76BBB"/>
    <w:rsid w:val="00A7706D"/>
    <w:rsid w:val="00A80168"/>
    <w:rsid w:val="00A80715"/>
    <w:rsid w:val="00A80732"/>
    <w:rsid w:val="00A809C6"/>
    <w:rsid w:val="00A80F1F"/>
    <w:rsid w:val="00A8114C"/>
    <w:rsid w:val="00A81988"/>
    <w:rsid w:val="00A81AEC"/>
    <w:rsid w:val="00A81CA2"/>
    <w:rsid w:val="00A81D1B"/>
    <w:rsid w:val="00A81DE5"/>
    <w:rsid w:val="00A81EBA"/>
    <w:rsid w:val="00A82191"/>
    <w:rsid w:val="00A82541"/>
    <w:rsid w:val="00A826E4"/>
    <w:rsid w:val="00A82A39"/>
    <w:rsid w:val="00A82D7A"/>
    <w:rsid w:val="00A82F68"/>
    <w:rsid w:val="00A8377D"/>
    <w:rsid w:val="00A83933"/>
    <w:rsid w:val="00A83B4F"/>
    <w:rsid w:val="00A83E0C"/>
    <w:rsid w:val="00A83EB9"/>
    <w:rsid w:val="00A83F44"/>
    <w:rsid w:val="00A840D5"/>
    <w:rsid w:val="00A84239"/>
    <w:rsid w:val="00A845B7"/>
    <w:rsid w:val="00A8519C"/>
    <w:rsid w:val="00A8572E"/>
    <w:rsid w:val="00A860D7"/>
    <w:rsid w:val="00A864F9"/>
    <w:rsid w:val="00A86777"/>
    <w:rsid w:val="00A86F4A"/>
    <w:rsid w:val="00A86FB4"/>
    <w:rsid w:val="00A87868"/>
    <w:rsid w:val="00A87A35"/>
    <w:rsid w:val="00A87C04"/>
    <w:rsid w:val="00A87DDD"/>
    <w:rsid w:val="00A90212"/>
    <w:rsid w:val="00A90B53"/>
    <w:rsid w:val="00A91190"/>
    <w:rsid w:val="00A911DE"/>
    <w:rsid w:val="00A916FD"/>
    <w:rsid w:val="00A917E5"/>
    <w:rsid w:val="00A91857"/>
    <w:rsid w:val="00A918CA"/>
    <w:rsid w:val="00A91D7A"/>
    <w:rsid w:val="00A92023"/>
    <w:rsid w:val="00A923AA"/>
    <w:rsid w:val="00A938BB"/>
    <w:rsid w:val="00A94DA2"/>
    <w:rsid w:val="00A94F2B"/>
    <w:rsid w:val="00A95167"/>
    <w:rsid w:val="00A95665"/>
    <w:rsid w:val="00A956D5"/>
    <w:rsid w:val="00A958EE"/>
    <w:rsid w:val="00A95AD4"/>
    <w:rsid w:val="00A96015"/>
    <w:rsid w:val="00A9670A"/>
    <w:rsid w:val="00A969D0"/>
    <w:rsid w:val="00A96CE0"/>
    <w:rsid w:val="00A970ED"/>
    <w:rsid w:val="00A974EE"/>
    <w:rsid w:val="00A97DD8"/>
    <w:rsid w:val="00AA04DF"/>
    <w:rsid w:val="00AA092C"/>
    <w:rsid w:val="00AA096F"/>
    <w:rsid w:val="00AA0B92"/>
    <w:rsid w:val="00AA102C"/>
    <w:rsid w:val="00AA1085"/>
    <w:rsid w:val="00AA12FC"/>
    <w:rsid w:val="00AA17B0"/>
    <w:rsid w:val="00AA17B4"/>
    <w:rsid w:val="00AA1D5A"/>
    <w:rsid w:val="00AA221D"/>
    <w:rsid w:val="00AA221F"/>
    <w:rsid w:val="00AA22D3"/>
    <w:rsid w:val="00AA25F1"/>
    <w:rsid w:val="00AA2675"/>
    <w:rsid w:val="00AA298B"/>
    <w:rsid w:val="00AA2A57"/>
    <w:rsid w:val="00AA2DA8"/>
    <w:rsid w:val="00AA2F78"/>
    <w:rsid w:val="00AA2FEC"/>
    <w:rsid w:val="00AA3104"/>
    <w:rsid w:val="00AA358E"/>
    <w:rsid w:val="00AA3928"/>
    <w:rsid w:val="00AA3D4C"/>
    <w:rsid w:val="00AA3D8D"/>
    <w:rsid w:val="00AA468C"/>
    <w:rsid w:val="00AA5A27"/>
    <w:rsid w:val="00AA6811"/>
    <w:rsid w:val="00AA6CC3"/>
    <w:rsid w:val="00AA7508"/>
    <w:rsid w:val="00AA75C3"/>
    <w:rsid w:val="00AA7C76"/>
    <w:rsid w:val="00AA7D4C"/>
    <w:rsid w:val="00AB007F"/>
    <w:rsid w:val="00AB014C"/>
    <w:rsid w:val="00AB0A7F"/>
    <w:rsid w:val="00AB10B0"/>
    <w:rsid w:val="00AB1C37"/>
    <w:rsid w:val="00AB36F6"/>
    <w:rsid w:val="00AB3F80"/>
    <w:rsid w:val="00AB4499"/>
    <w:rsid w:val="00AB5685"/>
    <w:rsid w:val="00AB5761"/>
    <w:rsid w:val="00AB583A"/>
    <w:rsid w:val="00AB5CFE"/>
    <w:rsid w:val="00AB5EED"/>
    <w:rsid w:val="00AB644D"/>
    <w:rsid w:val="00AB69EA"/>
    <w:rsid w:val="00AB6B4A"/>
    <w:rsid w:val="00AB7E65"/>
    <w:rsid w:val="00AC0138"/>
    <w:rsid w:val="00AC067D"/>
    <w:rsid w:val="00AC09FE"/>
    <w:rsid w:val="00AC0BF0"/>
    <w:rsid w:val="00AC1653"/>
    <w:rsid w:val="00AC1B41"/>
    <w:rsid w:val="00AC1E05"/>
    <w:rsid w:val="00AC1FF3"/>
    <w:rsid w:val="00AC2065"/>
    <w:rsid w:val="00AC2EBE"/>
    <w:rsid w:val="00AC308E"/>
    <w:rsid w:val="00AC4060"/>
    <w:rsid w:val="00AC429D"/>
    <w:rsid w:val="00AC45C7"/>
    <w:rsid w:val="00AC5140"/>
    <w:rsid w:val="00AC563A"/>
    <w:rsid w:val="00AC5CA3"/>
    <w:rsid w:val="00AC5F29"/>
    <w:rsid w:val="00AC6007"/>
    <w:rsid w:val="00AC6FFB"/>
    <w:rsid w:val="00AC7343"/>
    <w:rsid w:val="00AC7744"/>
    <w:rsid w:val="00AC7BBB"/>
    <w:rsid w:val="00AC7C55"/>
    <w:rsid w:val="00AC7C77"/>
    <w:rsid w:val="00AD08F8"/>
    <w:rsid w:val="00AD1959"/>
    <w:rsid w:val="00AD1C3C"/>
    <w:rsid w:val="00AD2EBC"/>
    <w:rsid w:val="00AD31F9"/>
    <w:rsid w:val="00AD3504"/>
    <w:rsid w:val="00AD3F34"/>
    <w:rsid w:val="00AD401E"/>
    <w:rsid w:val="00AD41E6"/>
    <w:rsid w:val="00AD444A"/>
    <w:rsid w:val="00AD45B7"/>
    <w:rsid w:val="00AD487E"/>
    <w:rsid w:val="00AD584F"/>
    <w:rsid w:val="00AD5F1B"/>
    <w:rsid w:val="00AD6A46"/>
    <w:rsid w:val="00AD6F8D"/>
    <w:rsid w:val="00AD70E6"/>
    <w:rsid w:val="00AD7116"/>
    <w:rsid w:val="00AD7C88"/>
    <w:rsid w:val="00AD7CE6"/>
    <w:rsid w:val="00AE03D0"/>
    <w:rsid w:val="00AE0674"/>
    <w:rsid w:val="00AE125B"/>
    <w:rsid w:val="00AE12B7"/>
    <w:rsid w:val="00AE1530"/>
    <w:rsid w:val="00AE1753"/>
    <w:rsid w:val="00AE1A84"/>
    <w:rsid w:val="00AE1B53"/>
    <w:rsid w:val="00AE1E8B"/>
    <w:rsid w:val="00AE26D6"/>
    <w:rsid w:val="00AE2AA5"/>
    <w:rsid w:val="00AE359E"/>
    <w:rsid w:val="00AE37CA"/>
    <w:rsid w:val="00AE3F2E"/>
    <w:rsid w:val="00AE3F75"/>
    <w:rsid w:val="00AE4B51"/>
    <w:rsid w:val="00AE5134"/>
    <w:rsid w:val="00AE5FF3"/>
    <w:rsid w:val="00AE63B3"/>
    <w:rsid w:val="00AE63B5"/>
    <w:rsid w:val="00AE724A"/>
    <w:rsid w:val="00AE74F7"/>
    <w:rsid w:val="00AE7A04"/>
    <w:rsid w:val="00AE7AE0"/>
    <w:rsid w:val="00AF0360"/>
    <w:rsid w:val="00AF08EB"/>
    <w:rsid w:val="00AF091C"/>
    <w:rsid w:val="00AF0C76"/>
    <w:rsid w:val="00AF116C"/>
    <w:rsid w:val="00AF13B6"/>
    <w:rsid w:val="00AF15C3"/>
    <w:rsid w:val="00AF16C8"/>
    <w:rsid w:val="00AF1833"/>
    <w:rsid w:val="00AF1D60"/>
    <w:rsid w:val="00AF2187"/>
    <w:rsid w:val="00AF25EC"/>
    <w:rsid w:val="00AF2A8C"/>
    <w:rsid w:val="00AF326D"/>
    <w:rsid w:val="00AF37E5"/>
    <w:rsid w:val="00AF39A3"/>
    <w:rsid w:val="00AF3BDE"/>
    <w:rsid w:val="00AF3C65"/>
    <w:rsid w:val="00AF3F25"/>
    <w:rsid w:val="00AF4CAF"/>
    <w:rsid w:val="00AF4CFD"/>
    <w:rsid w:val="00AF50CF"/>
    <w:rsid w:val="00AF5602"/>
    <w:rsid w:val="00AF59E8"/>
    <w:rsid w:val="00AF5DA2"/>
    <w:rsid w:val="00AF63E5"/>
    <w:rsid w:val="00AF6578"/>
    <w:rsid w:val="00AF6599"/>
    <w:rsid w:val="00AF65B3"/>
    <w:rsid w:val="00AF6944"/>
    <w:rsid w:val="00AF6FA6"/>
    <w:rsid w:val="00AF7188"/>
    <w:rsid w:val="00AF72F4"/>
    <w:rsid w:val="00AF7C59"/>
    <w:rsid w:val="00B002F0"/>
    <w:rsid w:val="00B00748"/>
    <w:rsid w:val="00B00B6F"/>
    <w:rsid w:val="00B00C78"/>
    <w:rsid w:val="00B00CC5"/>
    <w:rsid w:val="00B01678"/>
    <w:rsid w:val="00B0266B"/>
    <w:rsid w:val="00B028FF"/>
    <w:rsid w:val="00B03755"/>
    <w:rsid w:val="00B03AB7"/>
    <w:rsid w:val="00B03EEA"/>
    <w:rsid w:val="00B042BD"/>
    <w:rsid w:val="00B048D0"/>
    <w:rsid w:val="00B05162"/>
    <w:rsid w:val="00B05C5A"/>
    <w:rsid w:val="00B0712F"/>
    <w:rsid w:val="00B0722C"/>
    <w:rsid w:val="00B07799"/>
    <w:rsid w:val="00B101C2"/>
    <w:rsid w:val="00B10314"/>
    <w:rsid w:val="00B10A2A"/>
    <w:rsid w:val="00B11813"/>
    <w:rsid w:val="00B11D72"/>
    <w:rsid w:val="00B13414"/>
    <w:rsid w:val="00B13480"/>
    <w:rsid w:val="00B13C99"/>
    <w:rsid w:val="00B13EB3"/>
    <w:rsid w:val="00B143B7"/>
    <w:rsid w:val="00B16588"/>
    <w:rsid w:val="00B16DA5"/>
    <w:rsid w:val="00B16DCC"/>
    <w:rsid w:val="00B16F0A"/>
    <w:rsid w:val="00B17298"/>
    <w:rsid w:val="00B172AC"/>
    <w:rsid w:val="00B1746A"/>
    <w:rsid w:val="00B17E9D"/>
    <w:rsid w:val="00B17EF2"/>
    <w:rsid w:val="00B20019"/>
    <w:rsid w:val="00B2012D"/>
    <w:rsid w:val="00B20403"/>
    <w:rsid w:val="00B20675"/>
    <w:rsid w:val="00B20886"/>
    <w:rsid w:val="00B21543"/>
    <w:rsid w:val="00B218CC"/>
    <w:rsid w:val="00B2196E"/>
    <w:rsid w:val="00B21CFC"/>
    <w:rsid w:val="00B2210F"/>
    <w:rsid w:val="00B223A8"/>
    <w:rsid w:val="00B2247E"/>
    <w:rsid w:val="00B2291E"/>
    <w:rsid w:val="00B235E0"/>
    <w:rsid w:val="00B23C5C"/>
    <w:rsid w:val="00B23DA0"/>
    <w:rsid w:val="00B243DC"/>
    <w:rsid w:val="00B2487A"/>
    <w:rsid w:val="00B27092"/>
    <w:rsid w:val="00B27378"/>
    <w:rsid w:val="00B2745B"/>
    <w:rsid w:val="00B279D1"/>
    <w:rsid w:val="00B30821"/>
    <w:rsid w:val="00B33128"/>
    <w:rsid w:val="00B33C79"/>
    <w:rsid w:val="00B33CE2"/>
    <w:rsid w:val="00B33E42"/>
    <w:rsid w:val="00B34116"/>
    <w:rsid w:val="00B3423B"/>
    <w:rsid w:val="00B34544"/>
    <w:rsid w:val="00B34BB7"/>
    <w:rsid w:val="00B34BD8"/>
    <w:rsid w:val="00B353A6"/>
    <w:rsid w:val="00B36007"/>
    <w:rsid w:val="00B36057"/>
    <w:rsid w:val="00B362C7"/>
    <w:rsid w:val="00B3728C"/>
    <w:rsid w:val="00B37581"/>
    <w:rsid w:val="00B37C96"/>
    <w:rsid w:val="00B405F4"/>
    <w:rsid w:val="00B40DF8"/>
    <w:rsid w:val="00B40EC6"/>
    <w:rsid w:val="00B411CA"/>
    <w:rsid w:val="00B4152D"/>
    <w:rsid w:val="00B41A58"/>
    <w:rsid w:val="00B42069"/>
    <w:rsid w:val="00B423E6"/>
    <w:rsid w:val="00B4279E"/>
    <w:rsid w:val="00B42A20"/>
    <w:rsid w:val="00B42FBC"/>
    <w:rsid w:val="00B436E3"/>
    <w:rsid w:val="00B439B3"/>
    <w:rsid w:val="00B43FBA"/>
    <w:rsid w:val="00B44820"/>
    <w:rsid w:val="00B44A46"/>
    <w:rsid w:val="00B44DFD"/>
    <w:rsid w:val="00B45007"/>
    <w:rsid w:val="00B45187"/>
    <w:rsid w:val="00B456C1"/>
    <w:rsid w:val="00B45C3A"/>
    <w:rsid w:val="00B45E5F"/>
    <w:rsid w:val="00B460DF"/>
    <w:rsid w:val="00B46A61"/>
    <w:rsid w:val="00B47211"/>
    <w:rsid w:val="00B472CA"/>
    <w:rsid w:val="00B47369"/>
    <w:rsid w:val="00B47592"/>
    <w:rsid w:val="00B47734"/>
    <w:rsid w:val="00B47C5F"/>
    <w:rsid w:val="00B47C7C"/>
    <w:rsid w:val="00B47F18"/>
    <w:rsid w:val="00B504E1"/>
    <w:rsid w:val="00B50532"/>
    <w:rsid w:val="00B51A10"/>
    <w:rsid w:val="00B51AAE"/>
    <w:rsid w:val="00B51BDC"/>
    <w:rsid w:val="00B52C7A"/>
    <w:rsid w:val="00B52C92"/>
    <w:rsid w:val="00B540C2"/>
    <w:rsid w:val="00B5463D"/>
    <w:rsid w:val="00B55023"/>
    <w:rsid w:val="00B55117"/>
    <w:rsid w:val="00B557C0"/>
    <w:rsid w:val="00B557EF"/>
    <w:rsid w:val="00B55E81"/>
    <w:rsid w:val="00B55EDD"/>
    <w:rsid w:val="00B55F79"/>
    <w:rsid w:val="00B561C0"/>
    <w:rsid w:val="00B562B1"/>
    <w:rsid w:val="00B56353"/>
    <w:rsid w:val="00B56512"/>
    <w:rsid w:val="00B56C55"/>
    <w:rsid w:val="00B56CD8"/>
    <w:rsid w:val="00B5746A"/>
    <w:rsid w:val="00B57AB6"/>
    <w:rsid w:val="00B57FF0"/>
    <w:rsid w:val="00B60DFE"/>
    <w:rsid w:val="00B612D9"/>
    <w:rsid w:val="00B6130A"/>
    <w:rsid w:val="00B61368"/>
    <w:rsid w:val="00B6199B"/>
    <w:rsid w:val="00B619CD"/>
    <w:rsid w:val="00B61EC4"/>
    <w:rsid w:val="00B6208F"/>
    <w:rsid w:val="00B62B13"/>
    <w:rsid w:val="00B6331F"/>
    <w:rsid w:val="00B636A1"/>
    <w:rsid w:val="00B63714"/>
    <w:rsid w:val="00B637D0"/>
    <w:rsid w:val="00B63CE6"/>
    <w:rsid w:val="00B63F73"/>
    <w:rsid w:val="00B64048"/>
    <w:rsid w:val="00B641FF"/>
    <w:rsid w:val="00B64201"/>
    <w:rsid w:val="00B642BE"/>
    <w:rsid w:val="00B644AA"/>
    <w:rsid w:val="00B6458F"/>
    <w:rsid w:val="00B64662"/>
    <w:rsid w:val="00B646EA"/>
    <w:rsid w:val="00B6475D"/>
    <w:rsid w:val="00B64BD6"/>
    <w:rsid w:val="00B64F74"/>
    <w:rsid w:val="00B6512A"/>
    <w:rsid w:val="00B6526E"/>
    <w:rsid w:val="00B6662B"/>
    <w:rsid w:val="00B6688D"/>
    <w:rsid w:val="00B66B99"/>
    <w:rsid w:val="00B6721A"/>
    <w:rsid w:val="00B6731D"/>
    <w:rsid w:val="00B67C04"/>
    <w:rsid w:val="00B70790"/>
    <w:rsid w:val="00B70FC8"/>
    <w:rsid w:val="00B710E9"/>
    <w:rsid w:val="00B7169E"/>
    <w:rsid w:val="00B718F0"/>
    <w:rsid w:val="00B71FFD"/>
    <w:rsid w:val="00B72133"/>
    <w:rsid w:val="00B722BF"/>
    <w:rsid w:val="00B72836"/>
    <w:rsid w:val="00B72E1C"/>
    <w:rsid w:val="00B738C9"/>
    <w:rsid w:val="00B73950"/>
    <w:rsid w:val="00B739FA"/>
    <w:rsid w:val="00B745A9"/>
    <w:rsid w:val="00B75101"/>
    <w:rsid w:val="00B75A50"/>
    <w:rsid w:val="00B75E82"/>
    <w:rsid w:val="00B76246"/>
    <w:rsid w:val="00B76E80"/>
    <w:rsid w:val="00B76FB6"/>
    <w:rsid w:val="00B773CE"/>
    <w:rsid w:val="00B8016D"/>
    <w:rsid w:val="00B80764"/>
    <w:rsid w:val="00B8096E"/>
    <w:rsid w:val="00B8126E"/>
    <w:rsid w:val="00B81932"/>
    <w:rsid w:val="00B819D2"/>
    <w:rsid w:val="00B81BFC"/>
    <w:rsid w:val="00B821E0"/>
    <w:rsid w:val="00B821EB"/>
    <w:rsid w:val="00B822CA"/>
    <w:rsid w:val="00B8252B"/>
    <w:rsid w:val="00B82D16"/>
    <w:rsid w:val="00B8309F"/>
    <w:rsid w:val="00B83688"/>
    <w:rsid w:val="00B8384C"/>
    <w:rsid w:val="00B83E7D"/>
    <w:rsid w:val="00B8403C"/>
    <w:rsid w:val="00B847F3"/>
    <w:rsid w:val="00B84C0B"/>
    <w:rsid w:val="00B85969"/>
    <w:rsid w:val="00B85BE3"/>
    <w:rsid w:val="00B86826"/>
    <w:rsid w:val="00B86B2F"/>
    <w:rsid w:val="00B87CEB"/>
    <w:rsid w:val="00B87EA0"/>
    <w:rsid w:val="00B909A7"/>
    <w:rsid w:val="00B91195"/>
    <w:rsid w:val="00B91390"/>
    <w:rsid w:val="00B92381"/>
    <w:rsid w:val="00B929DE"/>
    <w:rsid w:val="00B92CD2"/>
    <w:rsid w:val="00B92F35"/>
    <w:rsid w:val="00B93A77"/>
    <w:rsid w:val="00B93C89"/>
    <w:rsid w:val="00B93C95"/>
    <w:rsid w:val="00B93EEF"/>
    <w:rsid w:val="00B93FEA"/>
    <w:rsid w:val="00B94A56"/>
    <w:rsid w:val="00B95358"/>
    <w:rsid w:val="00B953F8"/>
    <w:rsid w:val="00B95C35"/>
    <w:rsid w:val="00B95DDC"/>
    <w:rsid w:val="00B968AB"/>
    <w:rsid w:val="00B96C15"/>
    <w:rsid w:val="00B96E72"/>
    <w:rsid w:val="00B96F21"/>
    <w:rsid w:val="00B973F4"/>
    <w:rsid w:val="00BA1553"/>
    <w:rsid w:val="00BA16C2"/>
    <w:rsid w:val="00BA18BE"/>
    <w:rsid w:val="00BA279B"/>
    <w:rsid w:val="00BA2B7C"/>
    <w:rsid w:val="00BA2F49"/>
    <w:rsid w:val="00BA3842"/>
    <w:rsid w:val="00BA3BB8"/>
    <w:rsid w:val="00BA3F57"/>
    <w:rsid w:val="00BA6619"/>
    <w:rsid w:val="00BA6B95"/>
    <w:rsid w:val="00BA7035"/>
    <w:rsid w:val="00BA7910"/>
    <w:rsid w:val="00BA79E1"/>
    <w:rsid w:val="00BB0342"/>
    <w:rsid w:val="00BB0CE1"/>
    <w:rsid w:val="00BB124D"/>
    <w:rsid w:val="00BB1ACC"/>
    <w:rsid w:val="00BB1FEE"/>
    <w:rsid w:val="00BB2EF4"/>
    <w:rsid w:val="00BB3306"/>
    <w:rsid w:val="00BB37D7"/>
    <w:rsid w:val="00BB3C79"/>
    <w:rsid w:val="00BB4519"/>
    <w:rsid w:val="00BB4C8C"/>
    <w:rsid w:val="00BB54CE"/>
    <w:rsid w:val="00BB564C"/>
    <w:rsid w:val="00BB5975"/>
    <w:rsid w:val="00BB59F4"/>
    <w:rsid w:val="00BB5DE1"/>
    <w:rsid w:val="00BB6264"/>
    <w:rsid w:val="00BB658B"/>
    <w:rsid w:val="00BB6D63"/>
    <w:rsid w:val="00BB706B"/>
    <w:rsid w:val="00BB76CA"/>
    <w:rsid w:val="00BB7CE5"/>
    <w:rsid w:val="00BB7F70"/>
    <w:rsid w:val="00BC0507"/>
    <w:rsid w:val="00BC13D7"/>
    <w:rsid w:val="00BC17C7"/>
    <w:rsid w:val="00BC1BB1"/>
    <w:rsid w:val="00BC2374"/>
    <w:rsid w:val="00BC2796"/>
    <w:rsid w:val="00BC2DEF"/>
    <w:rsid w:val="00BC34B8"/>
    <w:rsid w:val="00BC3968"/>
    <w:rsid w:val="00BC3D99"/>
    <w:rsid w:val="00BC49FD"/>
    <w:rsid w:val="00BC4AD4"/>
    <w:rsid w:val="00BC4C51"/>
    <w:rsid w:val="00BC5159"/>
    <w:rsid w:val="00BC5632"/>
    <w:rsid w:val="00BC5CDD"/>
    <w:rsid w:val="00BC5DC1"/>
    <w:rsid w:val="00BC6146"/>
    <w:rsid w:val="00BC65B4"/>
    <w:rsid w:val="00BC68A0"/>
    <w:rsid w:val="00BC759A"/>
    <w:rsid w:val="00BC773D"/>
    <w:rsid w:val="00BC78C8"/>
    <w:rsid w:val="00BD06C1"/>
    <w:rsid w:val="00BD0923"/>
    <w:rsid w:val="00BD0D01"/>
    <w:rsid w:val="00BD10AE"/>
    <w:rsid w:val="00BD189F"/>
    <w:rsid w:val="00BD1A2F"/>
    <w:rsid w:val="00BD1CB1"/>
    <w:rsid w:val="00BD1FCE"/>
    <w:rsid w:val="00BD1FD5"/>
    <w:rsid w:val="00BD31A6"/>
    <w:rsid w:val="00BD3594"/>
    <w:rsid w:val="00BD3761"/>
    <w:rsid w:val="00BD3BD1"/>
    <w:rsid w:val="00BD41B4"/>
    <w:rsid w:val="00BD4D4B"/>
    <w:rsid w:val="00BD4DF8"/>
    <w:rsid w:val="00BD5727"/>
    <w:rsid w:val="00BD573A"/>
    <w:rsid w:val="00BD5933"/>
    <w:rsid w:val="00BD5B5F"/>
    <w:rsid w:val="00BD5BF8"/>
    <w:rsid w:val="00BD6235"/>
    <w:rsid w:val="00BD68FF"/>
    <w:rsid w:val="00BD69CA"/>
    <w:rsid w:val="00BD6DC8"/>
    <w:rsid w:val="00BD73D1"/>
    <w:rsid w:val="00BD7BA8"/>
    <w:rsid w:val="00BD7BD6"/>
    <w:rsid w:val="00BD7E29"/>
    <w:rsid w:val="00BE036C"/>
    <w:rsid w:val="00BE03B6"/>
    <w:rsid w:val="00BE0D8C"/>
    <w:rsid w:val="00BE10C9"/>
    <w:rsid w:val="00BE11E8"/>
    <w:rsid w:val="00BE12C6"/>
    <w:rsid w:val="00BE17B5"/>
    <w:rsid w:val="00BE1C92"/>
    <w:rsid w:val="00BE1E4C"/>
    <w:rsid w:val="00BE203B"/>
    <w:rsid w:val="00BE2E67"/>
    <w:rsid w:val="00BE41DE"/>
    <w:rsid w:val="00BE5332"/>
    <w:rsid w:val="00BE53C5"/>
    <w:rsid w:val="00BE5A32"/>
    <w:rsid w:val="00BE6545"/>
    <w:rsid w:val="00BE6549"/>
    <w:rsid w:val="00BE6B61"/>
    <w:rsid w:val="00BE7632"/>
    <w:rsid w:val="00BE7995"/>
    <w:rsid w:val="00BE7FD6"/>
    <w:rsid w:val="00BF0145"/>
    <w:rsid w:val="00BF0874"/>
    <w:rsid w:val="00BF0B90"/>
    <w:rsid w:val="00BF0CF2"/>
    <w:rsid w:val="00BF1021"/>
    <w:rsid w:val="00BF144E"/>
    <w:rsid w:val="00BF1507"/>
    <w:rsid w:val="00BF1DC6"/>
    <w:rsid w:val="00BF29AD"/>
    <w:rsid w:val="00BF3850"/>
    <w:rsid w:val="00BF462F"/>
    <w:rsid w:val="00BF46BB"/>
    <w:rsid w:val="00BF4903"/>
    <w:rsid w:val="00BF4EFB"/>
    <w:rsid w:val="00BF53F1"/>
    <w:rsid w:val="00BF5E9C"/>
    <w:rsid w:val="00BF7249"/>
    <w:rsid w:val="00BF7780"/>
    <w:rsid w:val="00BF7D4B"/>
    <w:rsid w:val="00C00219"/>
    <w:rsid w:val="00C009A2"/>
    <w:rsid w:val="00C00E50"/>
    <w:rsid w:val="00C00E7D"/>
    <w:rsid w:val="00C010B8"/>
    <w:rsid w:val="00C01BFD"/>
    <w:rsid w:val="00C01D82"/>
    <w:rsid w:val="00C0255D"/>
    <w:rsid w:val="00C0272C"/>
    <w:rsid w:val="00C02775"/>
    <w:rsid w:val="00C02B2F"/>
    <w:rsid w:val="00C02F6F"/>
    <w:rsid w:val="00C02F94"/>
    <w:rsid w:val="00C02FAC"/>
    <w:rsid w:val="00C03116"/>
    <w:rsid w:val="00C0328C"/>
    <w:rsid w:val="00C03772"/>
    <w:rsid w:val="00C039BC"/>
    <w:rsid w:val="00C03B73"/>
    <w:rsid w:val="00C042E1"/>
    <w:rsid w:val="00C04E8C"/>
    <w:rsid w:val="00C053A6"/>
    <w:rsid w:val="00C0647B"/>
    <w:rsid w:val="00C06942"/>
    <w:rsid w:val="00C07135"/>
    <w:rsid w:val="00C07DD2"/>
    <w:rsid w:val="00C10488"/>
    <w:rsid w:val="00C107BE"/>
    <w:rsid w:val="00C10CDF"/>
    <w:rsid w:val="00C10F5C"/>
    <w:rsid w:val="00C11CA2"/>
    <w:rsid w:val="00C12019"/>
    <w:rsid w:val="00C122B9"/>
    <w:rsid w:val="00C12342"/>
    <w:rsid w:val="00C12AAE"/>
    <w:rsid w:val="00C12D35"/>
    <w:rsid w:val="00C12D3E"/>
    <w:rsid w:val="00C12E1C"/>
    <w:rsid w:val="00C1325D"/>
    <w:rsid w:val="00C132F1"/>
    <w:rsid w:val="00C134C2"/>
    <w:rsid w:val="00C134F8"/>
    <w:rsid w:val="00C1382F"/>
    <w:rsid w:val="00C13A1A"/>
    <w:rsid w:val="00C13B02"/>
    <w:rsid w:val="00C13C87"/>
    <w:rsid w:val="00C14182"/>
    <w:rsid w:val="00C14461"/>
    <w:rsid w:val="00C14C65"/>
    <w:rsid w:val="00C14D6F"/>
    <w:rsid w:val="00C16274"/>
    <w:rsid w:val="00C1639E"/>
    <w:rsid w:val="00C168C4"/>
    <w:rsid w:val="00C16E69"/>
    <w:rsid w:val="00C17276"/>
    <w:rsid w:val="00C17B18"/>
    <w:rsid w:val="00C17F47"/>
    <w:rsid w:val="00C2034F"/>
    <w:rsid w:val="00C20786"/>
    <w:rsid w:val="00C20998"/>
    <w:rsid w:val="00C20DA7"/>
    <w:rsid w:val="00C212E3"/>
    <w:rsid w:val="00C2282E"/>
    <w:rsid w:val="00C22B7A"/>
    <w:rsid w:val="00C22FB5"/>
    <w:rsid w:val="00C23607"/>
    <w:rsid w:val="00C23791"/>
    <w:rsid w:val="00C24348"/>
    <w:rsid w:val="00C248E7"/>
    <w:rsid w:val="00C24C8D"/>
    <w:rsid w:val="00C254AC"/>
    <w:rsid w:val="00C256B1"/>
    <w:rsid w:val="00C2582F"/>
    <w:rsid w:val="00C25DF2"/>
    <w:rsid w:val="00C26424"/>
    <w:rsid w:val="00C269BE"/>
    <w:rsid w:val="00C26B46"/>
    <w:rsid w:val="00C279F0"/>
    <w:rsid w:val="00C27D68"/>
    <w:rsid w:val="00C27FB2"/>
    <w:rsid w:val="00C30094"/>
    <w:rsid w:val="00C301AE"/>
    <w:rsid w:val="00C302DE"/>
    <w:rsid w:val="00C3037A"/>
    <w:rsid w:val="00C30508"/>
    <w:rsid w:val="00C30728"/>
    <w:rsid w:val="00C30CF7"/>
    <w:rsid w:val="00C30F41"/>
    <w:rsid w:val="00C310E8"/>
    <w:rsid w:val="00C31C36"/>
    <w:rsid w:val="00C3251E"/>
    <w:rsid w:val="00C3296E"/>
    <w:rsid w:val="00C32AD9"/>
    <w:rsid w:val="00C32E87"/>
    <w:rsid w:val="00C32FCA"/>
    <w:rsid w:val="00C3305C"/>
    <w:rsid w:val="00C33380"/>
    <w:rsid w:val="00C339C1"/>
    <w:rsid w:val="00C33CF7"/>
    <w:rsid w:val="00C3472E"/>
    <w:rsid w:val="00C347A2"/>
    <w:rsid w:val="00C34A07"/>
    <w:rsid w:val="00C35E4F"/>
    <w:rsid w:val="00C36918"/>
    <w:rsid w:val="00C36AC1"/>
    <w:rsid w:val="00C371D1"/>
    <w:rsid w:val="00C3728D"/>
    <w:rsid w:val="00C37716"/>
    <w:rsid w:val="00C37C3A"/>
    <w:rsid w:val="00C4067C"/>
    <w:rsid w:val="00C40DE4"/>
    <w:rsid w:val="00C40FEB"/>
    <w:rsid w:val="00C41295"/>
    <w:rsid w:val="00C41D69"/>
    <w:rsid w:val="00C4216D"/>
    <w:rsid w:val="00C42FCB"/>
    <w:rsid w:val="00C44239"/>
    <w:rsid w:val="00C45A30"/>
    <w:rsid w:val="00C46543"/>
    <w:rsid w:val="00C466BF"/>
    <w:rsid w:val="00C46D4B"/>
    <w:rsid w:val="00C47AE8"/>
    <w:rsid w:val="00C50286"/>
    <w:rsid w:val="00C504D2"/>
    <w:rsid w:val="00C50676"/>
    <w:rsid w:val="00C50D9F"/>
    <w:rsid w:val="00C50DB6"/>
    <w:rsid w:val="00C51CAB"/>
    <w:rsid w:val="00C5220B"/>
    <w:rsid w:val="00C5276C"/>
    <w:rsid w:val="00C5328A"/>
    <w:rsid w:val="00C53EAA"/>
    <w:rsid w:val="00C53FCC"/>
    <w:rsid w:val="00C54B29"/>
    <w:rsid w:val="00C55B69"/>
    <w:rsid w:val="00C55E12"/>
    <w:rsid w:val="00C56473"/>
    <w:rsid w:val="00C5661E"/>
    <w:rsid w:val="00C56FAB"/>
    <w:rsid w:val="00C575B7"/>
    <w:rsid w:val="00C57F4A"/>
    <w:rsid w:val="00C6099D"/>
    <w:rsid w:val="00C615B6"/>
    <w:rsid w:val="00C61A40"/>
    <w:rsid w:val="00C61A52"/>
    <w:rsid w:val="00C61C8E"/>
    <w:rsid w:val="00C621D8"/>
    <w:rsid w:val="00C6337F"/>
    <w:rsid w:val="00C63E12"/>
    <w:rsid w:val="00C640B6"/>
    <w:rsid w:val="00C64D46"/>
    <w:rsid w:val="00C653FF"/>
    <w:rsid w:val="00C65520"/>
    <w:rsid w:val="00C6568F"/>
    <w:rsid w:val="00C65A77"/>
    <w:rsid w:val="00C65AB2"/>
    <w:rsid w:val="00C671C6"/>
    <w:rsid w:val="00C67399"/>
    <w:rsid w:val="00C674EB"/>
    <w:rsid w:val="00C6764D"/>
    <w:rsid w:val="00C67EC7"/>
    <w:rsid w:val="00C702B2"/>
    <w:rsid w:val="00C70BF0"/>
    <w:rsid w:val="00C70CC1"/>
    <w:rsid w:val="00C70D3E"/>
    <w:rsid w:val="00C70E86"/>
    <w:rsid w:val="00C70F3F"/>
    <w:rsid w:val="00C711D7"/>
    <w:rsid w:val="00C7181D"/>
    <w:rsid w:val="00C71C50"/>
    <w:rsid w:val="00C720B2"/>
    <w:rsid w:val="00C72ADC"/>
    <w:rsid w:val="00C72CDD"/>
    <w:rsid w:val="00C738A4"/>
    <w:rsid w:val="00C739DE"/>
    <w:rsid w:val="00C73C12"/>
    <w:rsid w:val="00C73DE4"/>
    <w:rsid w:val="00C74B63"/>
    <w:rsid w:val="00C74F48"/>
    <w:rsid w:val="00C75046"/>
    <w:rsid w:val="00C756E6"/>
    <w:rsid w:val="00C7588E"/>
    <w:rsid w:val="00C76D94"/>
    <w:rsid w:val="00C77545"/>
    <w:rsid w:val="00C776E0"/>
    <w:rsid w:val="00C77AD1"/>
    <w:rsid w:val="00C77FDB"/>
    <w:rsid w:val="00C8005E"/>
    <w:rsid w:val="00C80234"/>
    <w:rsid w:val="00C8051A"/>
    <w:rsid w:val="00C805C7"/>
    <w:rsid w:val="00C81620"/>
    <w:rsid w:val="00C819C9"/>
    <w:rsid w:val="00C819EF"/>
    <w:rsid w:val="00C819F6"/>
    <w:rsid w:val="00C81EB4"/>
    <w:rsid w:val="00C81FA2"/>
    <w:rsid w:val="00C81FF1"/>
    <w:rsid w:val="00C82AFA"/>
    <w:rsid w:val="00C83B06"/>
    <w:rsid w:val="00C83EDC"/>
    <w:rsid w:val="00C84257"/>
    <w:rsid w:val="00C84375"/>
    <w:rsid w:val="00C8449A"/>
    <w:rsid w:val="00C854E6"/>
    <w:rsid w:val="00C856A4"/>
    <w:rsid w:val="00C857AE"/>
    <w:rsid w:val="00C85B56"/>
    <w:rsid w:val="00C85EF7"/>
    <w:rsid w:val="00C86696"/>
    <w:rsid w:val="00C86D05"/>
    <w:rsid w:val="00C86E8D"/>
    <w:rsid w:val="00C8714A"/>
    <w:rsid w:val="00C87798"/>
    <w:rsid w:val="00C87804"/>
    <w:rsid w:val="00C8789F"/>
    <w:rsid w:val="00C87F78"/>
    <w:rsid w:val="00C9036C"/>
    <w:rsid w:val="00C907E4"/>
    <w:rsid w:val="00C91823"/>
    <w:rsid w:val="00C91A8D"/>
    <w:rsid w:val="00C91D75"/>
    <w:rsid w:val="00C920E1"/>
    <w:rsid w:val="00C92345"/>
    <w:rsid w:val="00C923F5"/>
    <w:rsid w:val="00C92A74"/>
    <w:rsid w:val="00C92C29"/>
    <w:rsid w:val="00C92DF6"/>
    <w:rsid w:val="00C938B3"/>
    <w:rsid w:val="00C93A92"/>
    <w:rsid w:val="00C93F76"/>
    <w:rsid w:val="00C941EE"/>
    <w:rsid w:val="00C943C3"/>
    <w:rsid w:val="00C9456E"/>
    <w:rsid w:val="00C947C6"/>
    <w:rsid w:val="00C94A46"/>
    <w:rsid w:val="00C9517C"/>
    <w:rsid w:val="00C95C78"/>
    <w:rsid w:val="00C962DB"/>
    <w:rsid w:val="00C96899"/>
    <w:rsid w:val="00C96BEB"/>
    <w:rsid w:val="00C96D1A"/>
    <w:rsid w:val="00C96F76"/>
    <w:rsid w:val="00C97543"/>
    <w:rsid w:val="00C97BCC"/>
    <w:rsid w:val="00CA031C"/>
    <w:rsid w:val="00CA069A"/>
    <w:rsid w:val="00CA0AA6"/>
    <w:rsid w:val="00CA0D99"/>
    <w:rsid w:val="00CA157C"/>
    <w:rsid w:val="00CA17BC"/>
    <w:rsid w:val="00CA1B94"/>
    <w:rsid w:val="00CA2194"/>
    <w:rsid w:val="00CA242D"/>
    <w:rsid w:val="00CA25C9"/>
    <w:rsid w:val="00CA2AB5"/>
    <w:rsid w:val="00CA3028"/>
    <w:rsid w:val="00CA3269"/>
    <w:rsid w:val="00CA3286"/>
    <w:rsid w:val="00CA3571"/>
    <w:rsid w:val="00CA3579"/>
    <w:rsid w:val="00CA3B1B"/>
    <w:rsid w:val="00CA3C27"/>
    <w:rsid w:val="00CA3F83"/>
    <w:rsid w:val="00CA3FD3"/>
    <w:rsid w:val="00CA4435"/>
    <w:rsid w:val="00CA4D20"/>
    <w:rsid w:val="00CA4EB0"/>
    <w:rsid w:val="00CA503A"/>
    <w:rsid w:val="00CA523F"/>
    <w:rsid w:val="00CA5DEF"/>
    <w:rsid w:val="00CA5E7F"/>
    <w:rsid w:val="00CA60A4"/>
    <w:rsid w:val="00CA75C2"/>
    <w:rsid w:val="00CA774F"/>
    <w:rsid w:val="00CA77E7"/>
    <w:rsid w:val="00CA785E"/>
    <w:rsid w:val="00CA799C"/>
    <w:rsid w:val="00CB004E"/>
    <w:rsid w:val="00CB051D"/>
    <w:rsid w:val="00CB0922"/>
    <w:rsid w:val="00CB0E50"/>
    <w:rsid w:val="00CB1182"/>
    <w:rsid w:val="00CB13E8"/>
    <w:rsid w:val="00CB165E"/>
    <w:rsid w:val="00CB202A"/>
    <w:rsid w:val="00CB250B"/>
    <w:rsid w:val="00CB2581"/>
    <w:rsid w:val="00CB2601"/>
    <w:rsid w:val="00CB33FA"/>
    <w:rsid w:val="00CB3717"/>
    <w:rsid w:val="00CB3748"/>
    <w:rsid w:val="00CB3D94"/>
    <w:rsid w:val="00CB3E33"/>
    <w:rsid w:val="00CB3EAC"/>
    <w:rsid w:val="00CB490C"/>
    <w:rsid w:val="00CB4D40"/>
    <w:rsid w:val="00CB5810"/>
    <w:rsid w:val="00CB60F0"/>
    <w:rsid w:val="00CB63C9"/>
    <w:rsid w:val="00CB6C3E"/>
    <w:rsid w:val="00CB73DA"/>
    <w:rsid w:val="00CB7FC1"/>
    <w:rsid w:val="00CC0224"/>
    <w:rsid w:val="00CC04E1"/>
    <w:rsid w:val="00CC092B"/>
    <w:rsid w:val="00CC19F1"/>
    <w:rsid w:val="00CC1D0D"/>
    <w:rsid w:val="00CC23DA"/>
    <w:rsid w:val="00CC308D"/>
    <w:rsid w:val="00CC37E3"/>
    <w:rsid w:val="00CC3BA3"/>
    <w:rsid w:val="00CC3DB3"/>
    <w:rsid w:val="00CC42CE"/>
    <w:rsid w:val="00CC42E2"/>
    <w:rsid w:val="00CC4CA8"/>
    <w:rsid w:val="00CC5A89"/>
    <w:rsid w:val="00CC5BF2"/>
    <w:rsid w:val="00CC5D7D"/>
    <w:rsid w:val="00CC60DB"/>
    <w:rsid w:val="00CC6105"/>
    <w:rsid w:val="00CC65C3"/>
    <w:rsid w:val="00CC6635"/>
    <w:rsid w:val="00CC6A3C"/>
    <w:rsid w:val="00CC6BEF"/>
    <w:rsid w:val="00CC71D6"/>
    <w:rsid w:val="00CC760B"/>
    <w:rsid w:val="00CC766D"/>
    <w:rsid w:val="00CC79F6"/>
    <w:rsid w:val="00CD00A6"/>
    <w:rsid w:val="00CD0632"/>
    <w:rsid w:val="00CD0B15"/>
    <w:rsid w:val="00CD1582"/>
    <w:rsid w:val="00CD177D"/>
    <w:rsid w:val="00CD27A5"/>
    <w:rsid w:val="00CD33F0"/>
    <w:rsid w:val="00CD356F"/>
    <w:rsid w:val="00CD383C"/>
    <w:rsid w:val="00CD4992"/>
    <w:rsid w:val="00CD49BC"/>
    <w:rsid w:val="00CD4A65"/>
    <w:rsid w:val="00CD4FD0"/>
    <w:rsid w:val="00CD52EB"/>
    <w:rsid w:val="00CD57B2"/>
    <w:rsid w:val="00CD5E22"/>
    <w:rsid w:val="00CD5EFE"/>
    <w:rsid w:val="00CD6072"/>
    <w:rsid w:val="00CD74D0"/>
    <w:rsid w:val="00CD76DE"/>
    <w:rsid w:val="00CD7DEE"/>
    <w:rsid w:val="00CD7EE2"/>
    <w:rsid w:val="00CE0303"/>
    <w:rsid w:val="00CE0A63"/>
    <w:rsid w:val="00CE0FD5"/>
    <w:rsid w:val="00CE11D9"/>
    <w:rsid w:val="00CE14DD"/>
    <w:rsid w:val="00CE1ADB"/>
    <w:rsid w:val="00CE1B48"/>
    <w:rsid w:val="00CE1CEE"/>
    <w:rsid w:val="00CE1DEB"/>
    <w:rsid w:val="00CE26F7"/>
    <w:rsid w:val="00CE28B4"/>
    <w:rsid w:val="00CE2D06"/>
    <w:rsid w:val="00CE2D35"/>
    <w:rsid w:val="00CE2F60"/>
    <w:rsid w:val="00CE45E4"/>
    <w:rsid w:val="00CE4813"/>
    <w:rsid w:val="00CE4DDE"/>
    <w:rsid w:val="00CE50C4"/>
    <w:rsid w:val="00CE51ED"/>
    <w:rsid w:val="00CE53D6"/>
    <w:rsid w:val="00CE57B9"/>
    <w:rsid w:val="00CE63E3"/>
    <w:rsid w:val="00CE6653"/>
    <w:rsid w:val="00CE6931"/>
    <w:rsid w:val="00CE726E"/>
    <w:rsid w:val="00CE74A1"/>
    <w:rsid w:val="00CE7B28"/>
    <w:rsid w:val="00CE7BE0"/>
    <w:rsid w:val="00CE7E51"/>
    <w:rsid w:val="00CF020A"/>
    <w:rsid w:val="00CF0FE1"/>
    <w:rsid w:val="00CF12A4"/>
    <w:rsid w:val="00CF14C5"/>
    <w:rsid w:val="00CF1A44"/>
    <w:rsid w:val="00CF2272"/>
    <w:rsid w:val="00CF2880"/>
    <w:rsid w:val="00CF2CCF"/>
    <w:rsid w:val="00CF2FC2"/>
    <w:rsid w:val="00CF3122"/>
    <w:rsid w:val="00CF34D8"/>
    <w:rsid w:val="00CF3C07"/>
    <w:rsid w:val="00CF41E8"/>
    <w:rsid w:val="00CF4317"/>
    <w:rsid w:val="00CF5333"/>
    <w:rsid w:val="00CF5546"/>
    <w:rsid w:val="00CF56B6"/>
    <w:rsid w:val="00CF5A2A"/>
    <w:rsid w:val="00CF5D2B"/>
    <w:rsid w:val="00CF66D9"/>
    <w:rsid w:val="00CF6F2E"/>
    <w:rsid w:val="00D00245"/>
    <w:rsid w:val="00D00366"/>
    <w:rsid w:val="00D00500"/>
    <w:rsid w:val="00D008AB"/>
    <w:rsid w:val="00D00B40"/>
    <w:rsid w:val="00D01A6A"/>
    <w:rsid w:val="00D01B8A"/>
    <w:rsid w:val="00D01E06"/>
    <w:rsid w:val="00D01FD1"/>
    <w:rsid w:val="00D0273D"/>
    <w:rsid w:val="00D0362C"/>
    <w:rsid w:val="00D038DD"/>
    <w:rsid w:val="00D03EB1"/>
    <w:rsid w:val="00D03FE1"/>
    <w:rsid w:val="00D040E1"/>
    <w:rsid w:val="00D0445F"/>
    <w:rsid w:val="00D04F6B"/>
    <w:rsid w:val="00D057A0"/>
    <w:rsid w:val="00D0588A"/>
    <w:rsid w:val="00D06277"/>
    <w:rsid w:val="00D064F0"/>
    <w:rsid w:val="00D0675A"/>
    <w:rsid w:val="00D06821"/>
    <w:rsid w:val="00D072F6"/>
    <w:rsid w:val="00D073C2"/>
    <w:rsid w:val="00D07442"/>
    <w:rsid w:val="00D10369"/>
    <w:rsid w:val="00D10A01"/>
    <w:rsid w:val="00D110A3"/>
    <w:rsid w:val="00D11434"/>
    <w:rsid w:val="00D116A0"/>
    <w:rsid w:val="00D11B0F"/>
    <w:rsid w:val="00D12875"/>
    <w:rsid w:val="00D12E13"/>
    <w:rsid w:val="00D12E9E"/>
    <w:rsid w:val="00D13AFC"/>
    <w:rsid w:val="00D13C52"/>
    <w:rsid w:val="00D13DCF"/>
    <w:rsid w:val="00D13DF9"/>
    <w:rsid w:val="00D13F28"/>
    <w:rsid w:val="00D1403C"/>
    <w:rsid w:val="00D1404E"/>
    <w:rsid w:val="00D141FF"/>
    <w:rsid w:val="00D14319"/>
    <w:rsid w:val="00D14828"/>
    <w:rsid w:val="00D152B0"/>
    <w:rsid w:val="00D16148"/>
    <w:rsid w:val="00D1621F"/>
    <w:rsid w:val="00D166BE"/>
    <w:rsid w:val="00D16A60"/>
    <w:rsid w:val="00D170BD"/>
    <w:rsid w:val="00D1767E"/>
    <w:rsid w:val="00D20719"/>
    <w:rsid w:val="00D20A25"/>
    <w:rsid w:val="00D20A8B"/>
    <w:rsid w:val="00D20CF7"/>
    <w:rsid w:val="00D20FB3"/>
    <w:rsid w:val="00D21066"/>
    <w:rsid w:val="00D2120D"/>
    <w:rsid w:val="00D2128F"/>
    <w:rsid w:val="00D21A94"/>
    <w:rsid w:val="00D22367"/>
    <w:rsid w:val="00D22746"/>
    <w:rsid w:val="00D23594"/>
    <w:rsid w:val="00D23A6D"/>
    <w:rsid w:val="00D24063"/>
    <w:rsid w:val="00D2412D"/>
    <w:rsid w:val="00D24C69"/>
    <w:rsid w:val="00D25F50"/>
    <w:rsid w:val="00D25FB1"/>
    <w:rsid w:val="00D2670F"/>
    <w:rsid w:val="00D272A3"/>
    <w:rsid w:val="00D277EE"/>
    <w:rsid w:val="00D27BE6"/>
    <w:rsid w:val="00D27E71"/>
    <w:rsid w:val="00D27F74"/>
    <w:rsid w:val="00D30D70"/>
    <w:rsid w:val="00D30D86"/>
    <w:rsid w:val="00D30E78"/>
    <w:rsid w:val="00D3143B"/>
    <w:rsid w:val="00D31669"/>
    <w:rsid w:val="00D31C21"/>
    <w:rsid w:val="00D3295C"/>
    <w:rsid w:val="00D329B4"/>
    <w:rsid w:val="00D32D57"/>
    <w:rsid w:val="00D33650"/>
    <w:rsid w:val="00D3375F"/>
    <w:rsid w:val="00D33945"/>
    <w:rsid w:val="00D33B8B"/>
    <w:rsid w:val="00D33E5F"/>
    <w:rsid w:val="00D3400D"/>
    <w:rsid w:val="00D34C1D"/>
    <w:rsid w:val="00D34D20"/>
    <w:rsid w:val="00D35538"/>
    <w:rsid w:val="00D356F7"/>
    <w:rsid w:val="00D36AB0"/>
    <w:rsid w:val="00D36ADC"/>
    <w:rsid w:val="00D36B29"/>
    <w:rsid w:val="00D36C67"/>
    <w:rsid w:val="00D36F87"/>
    <w:rsid w:val="00D371D0"/>
    <w:rsid w:val="00D376D6"/>
    <w:rsid w:val="00D37A33"/>
    <w:rsid w:val="00D40237"/>
    <w:rsid w:val="00D4029C"/>
    <w:rsid w:val="00D4043C"/>
    <w:rsid w:val="00D4101B"/>
    <w:rsid w:val="00D4109B"/>
    <w:rsid w:val="00D411AE"/>
    <w:rsid w:val="00D41FAA"/>
    <w:rsid w:val="00D4236E"/>
    <w:rsid w:val="00D42788"/>
    <w:rsid w:val="00D42B79"/>
    <w:rsid w:val="00D42BC3"/>
    <w:rsid w:val="00D43234"/>
    <w:rsid w:val="00D44685"/>
    <w:rsid w:val="00D44E29"/>
    <w:rsid w:val="00D450F7"/>
    <w:rsid w:val="00D45112"/>
    <w:rsid w:val="00D45801"/>
    <w:rsid w:val="00D45E71"/>
    <w:rsid w:val="00D45EE1"/>
    <w:rsid w:val="00D466A9"/>
    <w:rsid w:val="00D46767"/>
    <w:rsid w:val="00D46E09"/>
    <w:rsid w:val="00D472DC"/>
    <w:rsid w:val="00D47442"/>
    <w:rsid w:val="00D50824"/>
    <w:rsid w:val="00D50C7F"/>
    <w:rsid w:val="00D50DB3"/>
    <w:rsid w:val="00D50E4F"/>
    <w:rsid w:val="00D51B6F"/>
    <w:rsid w:val="00D5269B"/>
    <w:rsid w:val="00D52A8B"/>
    <w:rsid w:val="00D531F5"/>
    <w:rsid w:val="00D53371"/>
    <w:rsid w:val="00D53C39"/>
    <w:rsid w:val="00D53F49"/>
    <w:rsid w:val="00D543B7"/>
    <w:rsid w:val="00D54611"/>
    <w:rsid w:val="00D547B2"/>
    <w:rsid w:val="00D54D05"/>
    <w:rsid w:val="00D559AA"/>
    <w:rsid w:val="00D55A3C"/>
    <w:rsid w:val="00D55EF4"/>
    <w:rsid w:val="00D55F89"/>
    <w:rsid w:val="00D5600D"/>
    <w:rsid w:val="00D56822"/>
    <w:rsid w:val="00D57326"/>
    <w:rsid w:val="00D57EA9"/>
    <w:rsid w:val="00D609EA"/>
    <w:rsid w:val="00D615C4"/>
    <w:rsid w:val="00D617F5"/>
    <w:rsid w:val="00D620D9"/>
    <w:rsid w:val="00D62F8B"/>
    <w:rsid w:val="00D6328C"/>
    <w:rsid w:val="00D63460"/>
    <w:rsid w:val="00D63529"/>
    <w:rsid w:val="00D63A6C"/>
    <w:rsid w:val="00D63B0C"/>
    <w:rsid w:val="00D63D17"/>
    <w:rsid w:val="00D63E72"/>
    <w:rsid w:val="00D64D03"/>
    <w:rsid w:val="00D65374"/>
    <w:rsid w:val="00D656E9"/>
    <w:rsid w:val="00D65A1D"/>
    <w:rsid w:val="00D65C40"/>
    <w:rsid w:val="00D66075"/>
    <w:rsid w:val="00D67113"/>
    <w:rsid w:val="00D67419"/>
    <w:rsid w:val="00D675C4"/>
    <w:rsid w:val="00D676CB"/>
    <w:rsid w:val="00D67861"/>
    <w:rsid w:val="00D717D9"/>
    <w:rsid w:val="00D71A64"/>
    <w:rsid w:val="00D722CE"/>
    <w:rsid w:val="00D723B2"/>
    <w:rsid w:val="00D72578"/>
    <w:rsid w:val="00D728B1"/>
    <w:rsid w:val="00D73384"/>
    <w:rsid w:val="00D73F2F"/>
    <w:rsid w:val="00D74426"/>
    <w:rsid w:val="00D74B58"/>
    <w:rsid w:val="00D74D8F"/>
    <w:rsid w:val="00D75A1A"/>
    <w:rsid w:val="00D75A72"/>
    <w:rsid w:val="00D762DC"/>
    <w:rsid w:val="00D7641F"/>
    <w:rsid w:val="00D768F3"/>
    <w:rsid w:val="00D769BE"/>
    <w:rsid w:val="00D769FB"/>
    <w:rsid w:val="00D7745B"/>
    <w:rsid w:val="00D776F2"/>
    <w:rsid w:val="00D77DCB"/>
    <w:rsid w:val="00D77E0D"/>
    <w:rsid w:val="00D80DF5"/>
    <w:rsid w:val="00D80E25"/>
    <w:rsid w:val="00D819BD"/>
    <w:rsid w:val="00D82340"/>
    <w:rsid w:val="00D825C8"/>
    <w:rsid w:val="00D82AEE"/>
    <w:rsid w:val="00D82B13"/>
    <w:rsid w:val="00D82B5E"/>
    <w:rsid w:val="00D83138"/>
    <w:rsid w:val="00D83259"/>
    <w:rsid w:val="00D83BD1"/>
    <w:rsid w:val="00D83F3C"/>
    <w:rsid w:val="00D84CAC"/>
    <w:rsid w:val="00D851F8"/>
    <w:rsid w:val="00D85280"/>
    <w:rsid w:val="00D859FE"/>
    <w:rsid w:val="00D85CF3"/>
    <w:rsid w:val="00D86184"/>
    <w:rsid w:val="00D8650E"/>
    <w:rsid w:val="00D87170"/>
    <w:rsid w:val="00D87B5B"/>
    <w:rsid w:val="00D87E31"/>
    <w:rsid w:val="00D9007F"/>
    <w:rsid w:val="00D900D6"/>
    <w:rsid w:val="00D9024F"/>
    <w:rsid w:val="00D904BF"/>
    <w:rsid w:val="00D9080C"/>
    <w:rsid w:val="00D90D05"/>
    <w:rsid w:val="00D90DF0"/>
    <w:rsid w:val="00D910E6"/>
    <w:rsid w:val="00D914C7"/>
    <w:rsid w:val="00D91509"/>
    <w:rsid w:val="00D91BBB"/>
    <w:rsid w:val="00D92AE5"/>
    <w:rsid w:val="00D93526"/>
    <w:rsid w:val="00D94513"/>
    <w:rsid w:val="00D94AEA"/>
    <w:rsid w:val="00D952EE"/>
    <w:rsid w:val="00D95428"/>
    <w:rsid w:val="00D9586F"/>
    <w:rsid w:val="00D9595E"/>
    <w:rsid w:val="00D95E55"/>
    <w:rsid w:val="00D96E63"/>
    <w:rsid w:val="00D96EA5"/>
    <w:rsid w:val="00D97913"/>
    <w:rsid w:val="00D97D32"/>
    <w:rsid w:val="00D97EA3"/>
    <w:rsid w:val="00DA07F0"/>
    <w:rsid w:val="00DA0F34"/>
    <w:rsid w:val="00DA114F"/>
    <w:rsid w:val="00DA1250"/>
    <w:rsid w:val="00DA148D"/>
    <w:rsid w:val="00DA176F"/>
    <w:rsid w:val="00DA27FF"/>
    <w:rsid w:val="00DA2AE4"/>
    <w:rsid w:val="00DA2D36"/>
    <w:rsid w:val="00DA3560"/>
    <w:rsid w:val="00DA37CA"/>
    <w:rsid w:val="00DA37F6"/>
    <w:rsid w:val="00DA38B2"/>
    <w:rsid w:val="00DA395A"/>
    <w:rsid w:val="00DA3A16"/>
    <w:rsid w:val="00DA3C89"/>
    <w:rsid w:val="00DA3C8F"/>
    <w:rsid w:val="00DA3D6B"/>
    <w:rsid w:val="00DA467C"/>
    <w:rsid w:val="00DA5725"/>
    <w:rsid w:val="00DA58B6"/>
    <w:rsid w:val="00DA5EB7"/>
    <w:rsid w:val="00DA5F27"/>
    <w:rsid w:val="00DA66AA"/>
    <w:rsid w:val="00DA72AB"/>
    <w:rsid w:val="00DA7B68"/>
    <w:rsid w:val="00DA7C48"/>
    <w:rsid w:val="00DB0590"/>
    <w:rsid w:val="00DB0C22"/>
    <w:rsid w:val="00DB0D68"/>
    <w:rsid w:val="00DB151F"/>
    <w:rsid w:val="00DB1A84"/>
    <w:rsid w:val="00DB2A93"/>
    <w:rsid w:val="00DB31E5"/>
    <w:rsid w:val="00DB333C"/>
    <w:rsid w:val="00DB3FB8"/>
    <w:rsid w:val="00DB5117"/>
    <w:rsid w:val="00DB5900"/>
    <w:rsid w:val="00DB5EFA"/>
    <w:rsid w:val="00DB63FF"/>
    <w:rsid w:val="00DB7810"/>
    <w:rsid w:val="00DC069C"/>
    <w:rsid w:val="00DC19F7"/>
    <w:rsid w:val="00DC1B4E"/>
    <w:rsid w:val="00DC1F61"/>
    <w:rsid w:val="00DC331C"/>
    <w:rsid w:val="00DC339A"/>
    <w:rsid w:val="00DC3F2B"/>
    <w:rsid w:val="00DC401E"/>
    <w:rsid w:val="00DC4A10"/>
    <w:rsid w:val="00DC4CA4"/>
    <w:rsid w:val="00DC55D3"/>
    <w:rsid w:val="00DC5879"/>
    <w:rsid w:val="00DC5D83"/>
    <w:rsid w:val="00DC60DD"/>
    <w:rsid w:val="00DC631E"/>
    <w:rsid w:val="00DC69D0"/>
    <w:rsid w:val="00DC6B6C"/>
    <w:rsid w:val="00DC762D"/>
    <w:rsid w:val="00DD0506"/>
    <w:rsid w:val="00DD05E8"/>
    <w:rsid w:val="00DD097E"/>
    <w:rsid w:val="00DD0A3E"/>
    <w:rsid w:val="00DD0EB6"/>
    <w:rsid w:val="00DD0FA5"/>
    <w:rsid w:val="00DD16E8"/>
    <w:rsid w:val="00DD1C2F"/>
    <w:rsid w:val="00DD2338"/>
    <w:rsid w:val="00DD2746"/>
    <w:rsid w:val="00DD2825"/>
    <w:rsid w:val="00DD28FE"/>
    <w:rsid w:val="00DD2ACC"/>
    <w:rsid w:val="00DD3550"/>
    <w:rsid w:val="00DD367F"/>
    <w:rsid w:val="00DD3F61"/>
    <w:rsid w:val="00DD4483"/>
    <w:rsid w:val="00DD44F5"/>
    <w:rsid w:val="00DD4BE8"/>
    <w:rsid w:val="00DD54D9"/>
    <w:rsid w:val="00DD5645"/>
    <w:rsid w:val="00DD7517"/>
    <w:rsid w:val="00DE00CB"/>
    <w:rsid w:val="00DE061C"/>
    <w:rsid w:val="00DE0AC2"/>
    <w:rsid w:val="00DE0F7C"/>
    <w:rsid w:val="00DE11B3"/>
    <w:rsid w:val="00DE1A42"/>
    <w:rsid w:val="00DE25A8"/>
    <w:rsid w:val="00DE2683"/>
    <w:rsid w:val="00DE3129"/>
    <w:rsid w:val="00DE3F75"/>
    <w:rsid w:val="00DE40E5"/>
    <w:rsid w:val="00DE42F4"/>
    <w:rsid w:val="00DE445C"/>
    <w:rsid w:val="00DE4473"/>
    <w:rsid w:val="00DE4A65"/>
    <w:rsid w:val="00DE519A"/>
    <w:rsid w:val="00DE5FDF"/>
    <w:rsid w:val="00DE632F"/>
    <w:rsid w:val="00DE6398"/>
    <w:rsid w:val="00DE6F9A"/>
    <w:rsid w:val="00DE74E7"/>
    <w:rsid w:val="00DE760B"/>
    <w:rsid w:val="00DE7B7C"/>
    <w:rsid w:val="00DF00B8"/>
    <w:rsid w:val="00DF0403"/>
    <w:rsid w:val="00DF0D02"/>
    <w:rsid w:val="00DF1142"/>
    <w:rsid w:val="00DF1236"/>
    <w:rsid w:val="00DF20C7"/>
    <w:rsid w:val="00DF2170"/>
    <w:rsid w:val="00DF263B"/>
    <w:rsid w:val="00DF3208"/>
    <w:rsid w:val="00DF3271"/>
    <w:rsid w:val="00DF32FE"/>
    <w:rsid w:val="00DF37BE"/>
    <w:rsid w:val="00DF3C5A"/>
    <w:rsid w:val="00DF4038"/>
    <w:rsid w:val="00DF44E3"/>
    <w:rsid w:val="00DF472F"/>
    <w:rsid w:val="00DF4A6A"/>
    <w:rsid w:val="00DF5250"/>
    <w:rsid w:val="00DF5480"/>
    <w:rsid w:val="00DF5BD0"/>
    <w:rsid w:val="00DF5D2F"/>
    <w:rsid w:val="00DF5D7D"/>
    <w:rsid w:val="00DF6213"/>
    <w:rsid w:val="00DF69E3"/>
    <w:rsid w:val="00DF6D4B"/>
    <w:rsid w:val="00DF77A3"/>
    <w:rsid w:val="00DF77F1"/>
    <w:rsid w:val="00DF7E6E"/>
    <w:rsid w:val="00DF7FFE"/>
    <w:rsid w:val="00E00488"/>
    <w:rsid w:val="00E00DE9"/>
    <w:rsid w:val="00E01284"/>
    <w:rsid w:val="00E014B3"/>
    <w:rsid w:val="00E016B0"/>
    <w:rsid w:val="00E01AB6"/>
    <w:rsid w:val="00E0293C"/>
    <w:rsid w:val="00E02E3C"/>
    <w:rsid w:val="00E02F3D"/>
    <w:rsid w:val="00E04B1A"/>
    <w:rsid w:val="00E04BB9"/>
    <w:rsid w:val="00E04F5F"/>
    <w:rsid w:val="00E052FB"/>
    <w:rsid w:val="00E05CE2"/>
    <w:rsid w:val="00E06504"/>
    <w:rsid w:val="00E06900"/>
    <w:rsid w:val="00E069E3"/>
    <w:rsid w:val="00E06F6E"/>
    <w:rsid w:val="00E079AC"/>
    <w:rsid w:val="00E10444"/>
    <w:rsid w:val="00E1096C"/>
    <w:rsid w:val="00E10AEA"/>
    <w:rsid w:val="00E11210"/>
    <w:rsid w:val="00E115B8"/>
    <w:rsid w:val="00E1167D"/>
    <w:rsid w:val="00E11F03"/>
    <w:rsid w:val="00E12DDC"/>
    <w:rsid w:val="00E1304A"/>
    <w:rsid w:val="00E130FB"/>
    <w:rsid w:val="00E13156"/>
    <w:rsid w:val="00E13563"/>
    <w:rsid w:val="00E13C18"/>
    <w:rsid w:val="00E13CD4"/>
    <w:rsid w:val="00E147E3"/>
    <w:rsid w:val="00E14942"/>
    <w:rsid w:val="00E149C2"/>
    <w:rsid w:val="00E15572"/>
    <w:rsid w:val="00E15757"/>
    <w:rsid w:val="00E158E8"/>
    <w:rsid w:val="00E15D3E"/>
    <w:rsid w:val="00E15DB1"/>
    <w:rsid w:val="00E16133"/>
    <w:rsid w:val="00E16424"/>
    <w:rsid w:val="00E16435"/>
    <w:rsid w:val="00E168EC"/>
    <w:rsid w:val="00E1696A"/>
    <w:rsid w:val="00E16C06"/>
    <w:rsid w:val="00E204F9"/>
    <w:rsid w:val="00E20902"/>
    <w:rsid w:val="00E209D1"/>
    <w:rsid w:val="00E20A27"/>
    <w:rsid w:val="00E20C79"/>
    <w:rsid w:val="00E20CB9"/>
    <w:rsid w:val="00E21028"/>
    <w:rsid w:val="00E21054"/>
    <w:rsid w:val="00E21AC3"/>
    <w:rsid w:val="00E22A3A"/>
    <w:rsid w:val="00E23D50"/>
    <w:rsid w:val="00E23EEE"/>
    <w:rsid w:val="00E241E6"/>
    <w:rsid w:val="00E242C8"/>
    <w:rsid w:val="00E24B98"/>
    <w:rsid w:val="00E255C6"/>
    <w:rsid w:val="00E25BA2"/>
    <w:rsid w:val="00E26061"/>
    <w:rsid w:val="00E26BF7"/>
    <w:rsid w:val="00E2749F"/>
    <w:rsid w:val="00E2751E"/>
    <w:rsid w:val="00E2758D"/>
    <w:rsid w:val="00E277AE"/>
    <w:rsid w:val="00E2782C"/>
    <w:rsid w:val="00E278E8"/>
    <w:rsid w:val="00E27D9B"/>
    <w:rsid w:val="00E30153"/>
    <w:rsid w:val="00E3021B"/>
    <w:rsid w:val="00E30665"/>
    <w:rsid w:val="00E307A0"/>
    <w:rsid w:val="00E311E8"/>
    <w:rsid w:val="00E3127F"/>
    <w:rsid w:val="00E31750"/>
    <w:rsid w:val="00E318A9"/>
    <w:rsid w:val="00E31CDB"/>
    <w:rsid w:val="00E32F65"/>
    <w:rsid w:val="00E34195"/>
    <w:rsid w:val="00E34586"/>
    <w:rsid w:val="00E3467C"/>
    <w:rsid w:val="00E34A02"/>
    <w:rsid w:val="00E34F02"/>
    <w:rsid w:val="00E353FF"/>
    <w:rsid w:val="00E35477"/>
    <w:rsid w:val="00E355BA"/>
    <w:rsid w:val="00E367F4"/>
    <w:rsid w:val="00E36D33"/>
    <w:rsid w:val="00E36DBA"/>
    <w:rsid w:val="00E36E27"/>
    <w:rsid w:val="00E36EB3"/>
    <w:rsid w:val="00E37131"/>
    <w:rsid w:val="00E3728E"/>
    <w:rsid w:val="00E37377"/>
    <w:rsid w:val="00E3773F"/>
    <w:rsid w:val="00E37C5B"/>
    <w:rsid w:val="00E37DC8"/>
    <w:rsid w:val="00E37EA7"/>
    <w:rsid w:val="00E37FA1"/>
    <w:rsid w:val="00E400E9"/>
    <w:rsid w:val="00E40E83"/>
    <w:rsid w:val="00E40F09"/>
    <w:rsid w:val="00E410EC"/>
    <w:rsid w:val="00E4206D"/>
    <w:rsid w:val="00E42654"/>
    <w:rsid w:val="00E42814"/>
    <w:rsid w:val="00E42835"/>
    <w:rsid w:val="00E42877"/>
    <w:rsid w:val="00E439AE"/>
    <w:rsid w:val="00E43BFE"/>
    <w:rsid w:val="00E449BB"/>
    <w:rsid w:val="00E44DFC"/>
    <w:rsid w:val="00E44F7F"/>
    <w:rsid w:val="00E4520C"/>
    <w:rsid w:val="00E453AD"/>
    <w:rsid w:val="00E45464"/>
    <w:rsid w:val="00E454D3"/>
    <w:rsid w:val="00E46534"/>
    <w:rsid w:val="00E46946"/>
    <w:rsid w:val="00E47069"/>
    <w:rsid w:val="00E47601"/>
    <w:rsid w:val="00E47B98"/>
    <w:rsid w:val="00E504EB"/>
    <w:rsid w:val="00E507E5"/>
    <w:rsid w:val="00E5083B"/>
    <w:rsid w:val="00E50FA5"/>
    <w:rsid w:val="00E517F5"/>
    <w:rsid w:val="00E51858"/>
    <w:rsid w:val="00E52408"/>
    <w:rsid w:val="00E524B7"/>
    <w:rsid w:val="00E52A2A"/>
    <w:rsid w:val="00E52E18"/>
    <w:rsid w:val="00E53470"/>
    <w:rsid w:val="00E53A3D"/>
    <w:rsid w:val="00E55181"/>
    <w:rsid w:val="00E55C0B"/>
    <w:rsid w:val="00E563D2"/>
    <w:rsid w:val="00E56664"/>
    <w:rsid w:val="00E57491"/>
    <w:rsid w:val="00E57493"/>
    <w:rsid w:val="00E57859"/>
    <w:rsid w:val="00E57A97"/>
    <w:rsid w:val="00E60A83"/>
    <w:rsid w:val="00E60B35"/>
    <w:rsid w:val="00E6142C"/>
    <w:rsid w:val="00E61744"/>
    <w:rsid w:val="00E618FF"/>
    <w:rsid w:val="00E61D44"/>
    <w:rsid w:val="00E6260A"/>
    <w:rsid w:val="00E62950"/>
    <w:rsid w:val="00E62E77"/>
    <w:rsid w:val="00E62F95"/>
    <w:rsid w:val="00E6351A"/>
    <w:rsid w:val="00E63885"/>
    <w:rsid w:val="00E6469E"/>
    <w:rsid w:val="00E64B87"/>
    <w:rsid w:val="00E64CB8"/>
    <w:rsid w:val="00E65056"/>
    <w:rsid w:val="00E6556C"/>
    <w:rsid w:val="00E6579F"/>
    <w:rsid w:val="00E66D02"/>
    <w:rsid w:val="00E66D4A"/>
    <w:rsid w:val="00E67EF6"/>
    <w:rsid w:val="00E70609"/>
    <w:rsid w:val="00E70643"/>
    <w:rsid w:val="00E70FF2"/>
    <w:rsid w:val="00E71096"/>
    <w:rsid w:val="00E715DB"/>
    <w:rsid w:val="00E716AA"/>
    <w:rsid w:val="00E71A33"/>
    <w:rsid w:val="00E71D41"/>
    <w:rsid w:val="00E72C56"/>
    <w:rsid w:val="00E734E9"/>
    <w:rsid w:val="00E73C25"/>
    <w:rsid w:val="00E74555"/>
    <w:rsid w:val="00E74C2F"/>
    <w:rsid w:val="00E74C31"/>
    <w:rsid w:val="00E75875"/>
    <w:rsid w:val="00E758CF"/>
    <w:rsid w:val="00E761FA"/>
    <w:rsid w:val="00E7703A"/>
    <w:rsid w:val="00E770BB"/>
    <w:rsid w:val="00E771F4"/>
    <w:rsid w:val="00E7751F"/>
    <w:rsid w:val="00E77822"/>
    <w:rsid w:val="00E808B8"/>
    <w:rsid w:val="00E80AB8"/>
    <w:rsid w:val="00E80CFB"/>
    <w:rsid w:val="00E80DBD"/>
    <w:rsid w:val="00E80F32"/>
    <w:rsid w:val="00E81057"/>
    <w:rsid w:val="00E8158E"/>
    <w:rsid w:val="00E819E6"/>
    <w:rsid w:val="00E82783"/>
    <w:rsid w:val="00E82B0D"/>
    <w:rsid w:val="00E830A7"/>
    <w:rsid w:val="00E83440"/>
    <w:rsid w:val="00E83B36"/>
    <w:rsid w:val="00E83CFE"/>
    <w:rsid w:val="00E83DA4"/>
    <w:rsid w:val="00E840F9"/>
    <w:rsid w:val="00E841DC"/>
    <w:rsid w:val="00E84262"/>
    <w:rsid w:val="00E85A89"/>
    <w:rsid w:val="00E86178"/>
    <w:rsid w:val="00E86A76"/>
    <w:rsid w:val="00E86FA3"/>
    <w:rsid w:val="00E87F61"/>
    <w:rsid w:val="00E902D3"/>
    <w:rsid w:val="00E9097A"/>
    <w:rsid w:val="00E909FD"/>
    <w:rsid w:val="00E90BAA"/>
    <w:rsid w:val="00E90CF0"/>
    <w:rsid w:val="00E912EE"/>
    <w:rsid w:val="00E91947"/>
    <w:rsid w:val="00E919EF"/>
    <w:rsid w:val="00E9259F"/>
    <w:rsid w:val="00E92783"/>
    <w:rsid w:val="00E937F9"/>
    <w:rsid w:val="00E93BA2"/>
    <w:rsid w:val="00E93CC5"/>
    <w:rsid w:val="00E93F07"/>
    <w:rsid w:val="00E9402C"/>
    <w:rsid w:val="00E946B4"/>
    <w:rsid w:val="00E94B24"/>
    <w:rsid w:val="00E9502E"/>
    <w:rsid w:val="00E95A5F"/>
    <w:rsid w:val="00E96561"/>
    <w:rsid w:val="00E96654"/>
    <w:rsid w:val="00E96673"/>
    <w:rsid w:val="00E96C2D"/>
    <w:rsid w:val="00E96EB0"/>
    <w:rsid w:val="00E9725D"/>
    <w:rsid w:val="00E979B6"/>
    <w:rsid w:val="00E97CAF"/>
    <w:rsid w:val="00E97EB2"/>
    <w:rsid w:val="00EA042E"/>
    <w:rsid w:val="00EA0698"/>
    <w:rsid w:val="00EA0803"/>
    <w:rsid w:val="00EA1385"/>
    <w:rsid w:val="00EA22A1"/>
    <w:rsid w:val="00EA22AD"/>
    <w:rsid w:val="00EA2340"/>
    <w:rsid w:val="00EA2350"/>
    <w:rsid w:val="00EA238F"/>
    <w:rsid w:val="00EA25B9"/>
    <w:rsid w:val="00EA3126"/>
    <w:rsid w:val="00EA32D8"/>
    <w:rsid w:val="00EA3399"/>
    <w:rsid w:val="00EA3798"/>
    <w:rsid w:val="00EA3827"/>
    <w:rsid w:val="00EA3D59"/>
    <w:rsid w:val="00EA416D"/>
    <w:rsid w:val="00EA5270"/>
    <w:rsid w:val="00EA53EB"/>
    <w:rsid w:val="00EA5B22"/>
    <w:rsid w:val="00EA5D78"/>
    <w:rsid w:val="00EA7CDE"/>
    <w:rsid w:val="00EB0284"/>
    <w:rsid w:val="00EB09B6"/>
    <w:rsid w:val="00EB0D4D"/>
    <w:rsid w:val="00EB18F8"/>
    <w:rsid w:val="00EB1C37"/>
    <w:rsid w:val="00EB2564"/>
    <w:rsid w:val="00EB25A8"/>
    <w:rsid w:val="00EB2BFE"/>
    <w:rsid w:val="00EB2F98"/>
    <w:rsid w:val="00EB34EA"/>
    <w:rsid w:val="00EB39B8"/>
    <w:rsid w:val="00EB3B64"/>
    <w:rsid w:val="00EB3C70"/>
    <w:rsid w:val="00EB3D0A"/>
    <w:rsid w:val="00EB4659"/>
    <w:rsid w:val="00EB4702"/>
    <w:rsid w:val="00EB4713"/>
    <w:rsid w:val="00EB4971"/>
    <w:rsid w:val="00EB4DB1"/>
    <w:rsid w:val="00EB5A66"/>
    <w:rsid w:val="00EB5B1E"/>
    <w:rsid w:val="00EB5DE6"/>
    <w:rsid w:val="00EB61DD"/>
    <w:rsid w:val="00EB688D"/>
    <w:rsid w:val="00EB6ECF"/>
    <w:rsid w:val="00EB7528"/>
    <w:rsid w:val="00EB7539"/>
    <w:rsid w:val="00EB77D5"/>
    <w:rsid w:val="00EB783B"/>
    <w:rsid w:val="00EB796E"/>
    <w:rsid w:val="00EC0DC7"/>
    <w:rsid w:val="00EC13A7"/>
    <w:rsid w:val="00EC1698"/>
    <w:rsid w:val="00EC18B2"/>
    <w:rsid w:val="00EC2575"/>
    <w:rsid w:val="00EC2617"/>
    <w:rsid w:val="00EC2BE5"/>
    <w:rsid w:val="00EC2C2D"/>
    <w:rsid w:val="00EC2C7B"/>
    <w:rsid w:val="00EC32C5"/>
    <w:rsid w:val="00EC34B3"/>
    <w:rsid w:val="00EC34E6"/>
    <w:rsid w:val="00EC3774"/>
    <w:rsid w:val="00EC47F3"/>
    <w:rsid w:val="00EC4D51"/>
    <w:rsid w:val="00EC4F43"/>
    <w:rsid w:val="00EC5362"/>
    <w:rsid w:val="00EC553A"/>
    <w:rsid w:val="00EC5CE0"/>
    <w:rsid w:val="00EC5DD8"/>
    <w:rsid w:val="00EC679D"/>
    <w:rsid w:val="00EC6D9A"/>
    <w:rsid w:val="00EC7231"/>
    <w:rsid w:val="00EC73F5"/>
    <w:rsid w:val="00ED04E9"/>
    <w:rsid w:val="00ED0841"/>
    <w:rsid w:val="00ED08BF"/>
    <w:rsid w:val="00ED0987"/>
    <w:rsid w:val="00ED0A5C"/>
    <w:rsid w:val="00ED0FE7"/>
    <w:rsid w:val="00ED1BAF"/>
    <w:rsid w:val="00ED1C71"/>
    <w:rsid w:val="00ED1D6E"/>
    <w:rsid w:val="00ED23AA"/>
    <w:rsid w:val="00ED2815"/>
    <w:rsid w:val="00ED2A74"/>
    <w:rsid w:val="00ED2AE1"/>
    <w:rsid w:val="00ED2FB1"/>
    <w:rsid w:val="00ED34A8"/>
    <w:rsid w:val="00ED37C6"/>
    <w:rsid w:val="00ED3885"/>
    <w:rsid w:val="00ED3B16"/>
    <w:rsid w:val="00ED431E"/>
    <w:rsid w:val="00ED4DC9"/>
    <w:rsid w:val="00ED4F16"/>
    <w:rsid w:val="00ED5289"/>
    <w:rsid w:val="00ED591E"/>
    <w:rsid w:val="00ED5995"/>
    <w:rsid w:val="00ED59F3"/>
    <w:rsid w:val="00ED652A"/>
    <w:rsid w:val="00ED6BA0"/>
    <w:rsid w:val="00ED75A7"/>
    <w:rsid w:val="00ED7FB1"/>
    <w:rsid w:val="00ED7FC0"/>
    <w:rsid w:val="00EE0032"/>
    <w:rsid w:val="00EE063A"/>
    <w:rsid w:val="00EE0967"/>
    <w:rsid w:val="00EE0AE6"/>
    <w:rsid w:val="00EE0C8C"/>
    <w:rsid w:val="00EE0F14"/>
    <w:rsid w:val="00EE22F0"/>
    <w:rsid w:val="00EE2DCB"/>
    <w:rsid w:val="00EE2F1F"/>
    <w:rsid w:val="00EE3FCC"/>
    <w:rsid w:val="00EE44A2"/>
    <w:rsid w:val="00EE4621"/>
    <w:rsid w:val="00EE53F5"/>
    <w:rsid w:val="00EE5403"/>
    <w:rsid w:val="00EE5424"/>
    <w:rsid w:val="00EE5A8E"/>
    <w:rsid w:val="00EE5B8D"/>
    <w:rsid w:val="00EE6A97"/>
    <w:rsid w:val="00EE6BFA"/>
    <w:rsid w:val="00EE70B7"/>
    <w:rsid w:val="00EE784C"/>
    <w:rsid w:val="00EE7AD5"/>
    <w:rsid w:val="00EE7E14"/>
    <w:rsid w:val="00EF047C"/>
    <w:rsid w:val="00EF09D6"/>
    <w:rsid w:val="00EF0FF0"/>
    <w:rsid w:val="00EF1382"/>
    <w:rsid w:val="00EF159E"/>
    <w:rsid w:val="00EF2106"/>
    <w:rsid w:val="00EF290D"/>
    <w:rsid w:val="00EF3245"/>
    <w:rsid w:val="00EF32AC"/>
    <w:rsid w:val="00EF358C"/>
    <w:rsid w:val="00EF4159"/>
    <w:rsid w:val="00EF4501"/>
    <w:rsid w:val="00EF4FC0"/>
    <w:rsid w:val="00EF52F0"/>
    <w:rsid w:val="00EF5397"/>
    <w:rsid w:val="00EF5664"/>
    <w:rsid w:val="00EF5C90"/>
    <w:rsid w:val="00EF5E07"/>
    <w:rsid w:val="00EF69C6"/>
    <w:rsid w:val="00EF6A66"/>
    <w:rsid w:val="00EF725F"/>
    <w:rsid w:val="00EF72E7"/>
    <w:rsid w:val="00EF75A6"/>
    <w:rsid w:val="00EF76EC"/>
    <w:rsid w:val="00EF7D93"/>
    <w:rsid w:val="00EF7F29"/>
    <w:rsid w:val="00F00126"/>
    <w:rsid w:val="00F003F4"/>
    <w:rsid w:val="00F005AD"/>
    <w:rsid w:val="00F007F5"/>
    <w:rsid w:val="00F008E5"/>
    <w:rsid w:val="00F01511"/>
    <w:rsid w:val="00F0161D"/>
    <w:rsid w:val="00F018B1"/>
    <w:rsid w:val="00F01B6C"/>
    <w:rsid w:val="00F01CE7"/>
    <w:rsid w:val="00F01F0B"/>
    <w:rsid w:val="00F02270"/>
    <w:rsid w:val="00F02475"/>
    <w:rsid w:val="00F026DF"/>
    <w:rsid w:val="00F02BC9"/>
    <w:rsid w:val="00F02E3D"/>
    <w:rsid w:val="00F035AC"/>
    <w:rsid w:val="00F04CC5"/>
    <w:rsid w:val="00F04DED"/>
    <w:rsid w:val="00F0568A"/>
    <w:rsid w:val="00F0577E"/>
    <w:rsid w:val="00F05F6D"/>
    <w:rsid w:val="00F060CD"/>
    <w:rsid w:val="00F073F3"/>
    <w:rsid w:val="00F078BB"/>
    <w:rsid w:val="00F07953"/>
    <w:rsid w:val="00F07AF4"/>
    <w:rsid w:val="00F10089"/>
    <w:rsid w:val="00F1040E"/>
    <w:rsid w:val="00F107FD"/>
    <w:rsid w:val="00F10D6C"/>
    <w:rsid w:val="00F10EB6"/>
    <w:rsid w:val="00F115BD"/>
    <w:rsid w:val="00F115E2"/>
    <w:rsid w:val="00F117D5"/>
    <w:rsid w:val="00F119D4"/>
    <w:rsid w:val="00F11E2F"/>
    <w:rsid w:val="00F11FC2"/>
    <w:rsid w:val="00F12AE9"/>
    <w:rsid w:val="00F12D7F"/>
    <w:rsid w:val="00F13C80"/>
    <w:rsid w:val="00F13DAB"/>
    <w:rsid w:val="00F145E4"/>
    <w:rsid w:val="00F146DE"/>
    <w:rsid w:val="00F1512A"/>
    <w:rsid w:val="00F15AF3"/>
    <w:rsid w:val="00F161B1"/>
    <w:rsid w:val="00F16554"/>
    <w:rsid w:val="00F169F2"/>
    <w:rsid w:val="00F16D57"/>
    <w:rsid w:val="00F16F5E"/>
    <w:rsid w:val="00F171D7"/>
    <w:rsid w:val="00F1726B"/>
    <w:rsid w:val="00F17E52"/>
    <w:rsid w:val="00F17EDF"/>
    <w:rsid w:val="00F20A84"/>
    <w:rsid w:val="00F2155B"/>
    <w:rsid w:val="00F2177D"/>
    <w:rsid w:val="00F21C53"/>
    <w:rsid w:val="00F2216F"/>
    <w:rsid w:val="00F22197"/>
    <w:rsid w:val="00F22463"/>
    <w:rsid w:val="00F22606"/>
    <w:rsid w:val="00F22651"/>
    <w:rsid w:val="00F228BE"/>
    <w:rsid w:val="00F22C87"/>
    <w:rsid w:val="00F22CCF"/>
    <w:rsid w:val="00F248BD"/>
    <w:rsid w:val="00F24908"/>
    <w:rsid w:val="00F24F76"/>
    <w:rsid w:val="00F25393"/>
    <w:rsid w:val="00F25857"/>
    <w:rsid w:val="00F25BCD"/>
    <w:rsid w:val="00F26427"/>
    <w:rsid w:val="00F264FC"/>
    <w:rsid w:val="00F26527"/>
    <w:rsid w:val="00F26E2D"/>
    <w:rsid w:val="00F27719"/>
    <w:rsid w:val="00F27AD4"/>
    <w:rsid w:val="00F27CB2"/>
    <w:rsid w:val="00F27FAC"/>
    <w:rsid w:val="00F304C5"/>
    <w:rsid w:val="00F304DF"/>
    <w:rsid w:val="00F30782"/>
    <w:rsid w:val="00F30B18"/>
    <w:rsid w:val="00F31853"/>
    <w:rsid w:val="00F31AE1"/>
    <w:rsid w:val="00F31CFA"/>
    <w:rsid w:val="00F32CE7"/>
    <w:rsid w:val="00F33314"/>
    <w:rsid w:val="00F33E32"/>
    <w:rsid w:val="00F343C1"/>
    <w:rsid w:val="00F34B9C"/>
    <w:rsid w:val="00F35290"/>
    <w:rsid w:val="00F36208"/>
    <w:rsid w:val="00F36C68"/>
    <w:rsid w:val="00F36D46"/>
    <w:rsid w:val="00F3790B"/>
    <w:rsid w:val="00F379E6"/>
    <w:rsid w:val="00F37DFD"/>
    <w:rsid w:val="00F405E7"/>
    <w:rsid w:val="00F40BEA"/>
    <w:rsid w:val="00F410C8"/>
    <w:rsid w:val="00F41E36"/>
    <w:rsid w:val="00F42A03"/>
    <w:rsid w:val="00F42EFA"/>
    <w:rsid w:val="00F435E2"/>
    <w:rsid w:val="00F438AA"/>
    <w:rsid w:val="00F43910"/>
    <w:rsid w:val="00F43AB0"/>
    <w:rsid w:val="00F44219"/>
    <w:rsid w:val="00F447C4"/>
    <w:rsid w:val="00F447E6"/>
    <w:rsid w:val="00F44858"/>
    <w:rsid w:val="00F448B6"/>
    <w:rsid w:val="00F449FD"/>
    <w:rsid w:val="00F44A56"/>
    <w:rsid w:val="00F44B53"/>
    <w:rsid w:val="00F451A2"/>
    <w:rsid w:val="00F45743"/>
    <w:rsid w:val="00F45F60"/>
    <w:rsid w:val="00F46185"/>
    <w:rsid w:val="00F465DA"/>
    <w:rsid w:val="00F47071"/>
    <w:rsid w:val="00F47200"/>
    <w:rsid w:val="00F47618"/>
    <w:rsid w:val="00F47C14"/>
    <w:rsid w:val="00F50341"/>
    <w:rsid w:val="00F5047D"/>
    <w:rsid w:val="00F50E99"/>
    <w:rsid w:val="00F51368"/>
    <w:rsid w:val="00F51BCB"/>
    <w:rsid w:val="00F51F3A"/>
    <w:rsid w:val="00F524DE"/>
    <w:rsid w:val="00F525E8"/>
    <w:rsid w:val="00F527B6"/>
    <w:rsid w:val="00F52A51"/>
    <w:rsid w:val="00F52FE5"/>
    <w:rsid w:val="00F53380"/>
    <w:rsid w:val="00F535FA"/>
    <w:rsid w:val="00F53AF9"/>
    <w:rsid w:val="00F54060"/>
    <w:rsid w:val="00F54542"/>
    <w:rsid w:val="00F54C1E"/>
    <w:rsid w:val="00F54D93"/>
    <w:rsid w:val="00F54F66"/>
    <w:rsid w:val="00F557BA"/>
    <w:rsid w:val="00F55C6C"/>
    <w:rsid w:val="00F571C4"/>
    <w:rsid w:val="00F577FA"/>
    <w:rsid w:val="00F57834"/>
    <w:rsid w:val="00F604D6"/>
    <w:rsid w:val="00F60684"/>
    <w:rsid w:val="00F60921"/>
    <w:rsid w:val="00F609BE"/>
    <w:rsid w:val="00F60C44"/>
    <w:rsid w:val="00F61243"/>
    <w:rsid w:val="00F613C7"/>
    <w:rsid w:val="00F61638"/>
    <w:rsid w:val="00F6172D"/>
    <w:rsid w:val="00F61827"/>
    <w:rsid w:val="00F61850"/>
    <w:rsid w:val="00F61868"/>
    <w:rsid w:val="00F61BBA"/>
    <w:rsid w:val="00F62396"/>
    <w:rsid w:val="00F62D3A"/>
    <w:rsid w:val="00F62F2D"/>
    <w:rsid w:val="00F630F5"/>
    <w:rsid w:val="00F635F1"/>
    <w:rsid w:val="00F63EFF"/>
    <w:rsid w:val="00F6411F"/>
    <w:rsid w:val="00F6451B"/>
    <w:rsid w:val="00F648F1"/>
    <w:rsid w:val="00F64EA0"/>
    <w:rsid w:val="00F652EB"/>
    <w:rsid w:val="00F658A0"/>
    <w:rsid w:val="00F66C73"/>
    <w:rsid w:val="00F67378"/>
    <w:rsid w:val="00F67380"/>
    <w:rsid w:val="00F673BA"/>
    <w:rsid w:val="00F67C65"/>
    <w:rsid w:val="00F702FB"/>
    <w:rsid w:val="00F70396"/>
    <w:rsid w:val="00F704FF"/>
    <w:rsid w:val="00F708DE"/>
    <w:rsid w:val="00F70DED"/>
    <w:rsid w:val="00F7260B"/>
    <w:rsid w:val="00F729CC"/>
    <w:rsid w:val="00F72C09"/>
    <w:rsid w:val="00F72E7E"/>
    <w:rsid w:val="00F72E88"/>
    <w:rsid w:val="00F733E5"/>
    <w:rsid w:val="00F736A7"/>
    <w:rsid w:val="00F7390D"/>
    <w:rsid w:val="00F73A6F"/>
    <w:rsid w:val="00F73B65"/>
    <w:rsid w:val="00F73CC2"/>
    <w:rsid w:val="00F73D0B"/>
    <w:rsid w:val="00F74A67"/>
    <w:rsid w:val="00F74F6B"/>
    <w:rsid w:val="00F75055"/>
    <w:rsid w:val="00F75345"/>
    <w:rsid w:val="00F754FB"/>
    <w:rsid w:val="00F75515"/>
    <w:rsid w:val="00F75580"/>
    <w:rsid w:val="00F755DF"/>
    <w:rsid w:val="00F755F0"/>
    <w:rsid w:val="00F75BBE"/>
    <w:rsid w:val="00F760E1"/>
    <w:rsid w:val="00F761F9"/>
    <w:rsid w:val="00F762B2"/>
    <w:rsid w:val="00F766F1"/>
    <w:rsid w:val="00F76901"/>
    <w:rsid w:val="00F77192"/>
    <w:rsid w:val="00F7775D"/>
    <w:rsid w:val="00F77ACD"/>
    <w:rsid w:val="00F77E6F"/>
    <w:rsid w:val="00F80514"/>
    <w:rsid w:val="00F808B9"/>
    <w:rsid w:val="00F8099C"/>
    <w:rsid w:val="00F80CB4"/>
    <w:rsid w:val="00F80DF1"/>
    <w:rsid w:val="00F81270"/>
    <w:rsid w:val="00F814B8"/>
    <w:rsid w:val="00F81AB8"/>
    <w:rsid w:val="00F81DC6"/>
    <w:rsid w:val="00F81F68"/>
    <w:rsid w:val="00F82246"/>
    <w:rsid w:val="00F82383"/>
    <w:rsid w:val="00F8241C"/>
    <w:rsid w:val="00F82C64"/>
    <w:rsid w:val="00F8308B"/>
    <w:rsid w:val="00F83207"/>
    <w:rsid w:val="00F8322F"/>
    <w:rsid w:val="00F835FB"/>
    <w:rsid w:val="00F83926"/>
    <w:rsid w:val="00F83941"/>
    <w:rsid w:val="00F839D1"/>
    <w:rsid w:val="00F84654"/>
    <w:rsid w:val="00F848F4"/>
    <w:rsid w:val="00F84EF9"/>
    <w:rsid w:val="00F8590A"/>
    <w:rsid w:val="00F865DD"/>
    <w:rsid w:val="00F86AFA"/>
    <w:rsid w:val="00F86B57"/>
    <w:rsid w:val="00F86B6E"/>
    <w:rsid w:val="00F872C7"/>
    <w:rsid w:val="00F877E6"/>
    <w:rsid w:val="00F87C63"/>
    <w:rsid w:val="00F87EB4"/>
    <w:rsid w:val="00F9050F"/>
    <w:rsid w:val="00F905D5"/>
    <w:rsid w:val="00F9081F"/>
    <w:rsid w:val="00F91B32"/>
    <w:rsid w:val="00F92827"/>
    <w:rsid w:val="00F9338E"/>
    <w:rsid w:val="00F93808"/>
    <w:rsid w:val="00F93B46"/>
    <w:rsid w:val="00F93C83"/>
    <w:rsid w:val="00F942C3"/>
    <w:rsid w:val="00F94E57"/>
    <w:rsid w:val="00F94F88"/>
    <w:rsid w:val="00F95561"/>
    <w:rsid w:val="00F95C00"/>
    <w:rsid w:val="00F95F66"/>
    <w:rsid w:val="00F960CB"/>
    <w:rsid w:val="00F96204"/>
    <w:rsid w:val="00F96643"/>
    <w:rsid w:val="00F968EF"/>
    <w:rsid w:val="00F96970"/>
    <w:rsid w:val="00F974A1"/>
    <w:rsid w:val="00F97502"/>
    <w:rsid w:val="00F97D74"/>
    <w:rsid w:val="00FA01B7"/>
    <w:rsid w:val="00FA075C"/>
    <w:rsid w:val="00FA094D"/>
    <w:rsid w:val="00FA09E7"/>
    <w:rsid w:val="00FA0D86"/>
    <w:rsid w:val="00FA0E07"/>
    <w:rsid w:val="00FA0FB2"/>
    <w:rsid w:val="00FA11B5"/>
    <w:rsid w:val="00FA1694"/>
    <w:rsid w:val="00FA1A64"/>
    <w:rsid w:val="00FA1DF5"/>
    <w:rsid w:val="00FA26AA"/>
    <w:rsid w:val="00FA29A9"/>
    <w:rsid w:val="00FA332A"/>
    <w:rsid w:val="00FA421C"/>
    <w:rsid w:val="00FA4BC1"/>
    <w:rsid w:val="00FA4C2D"/>
    <w:rsid w:val="00FA4E15"/>
    <w:rsid w:val="00FA5424"/>
    <w:rsid w:val="00FA55C7"/>
    <w:rsid w:val="00FA5D85"/>
    <w:rsid w:val="00FA5F76"/>
    <w:rsid w:val="00FA662D"/>
    <w:rsid w:val="00FA66FD"/>
    <w:rsid w:val="00FA68AC"/>
    <w:rsid w:val="00FA6A81"/>
    <w:rsid w:val="00FA73E8"/>
    <w:rsid w:val="00FA78EA"/>
    <w:rsid w:val="00FA78F6"/>
    <w:rsid w:val="00FA7AC7"/>
    <w:rsid w:val="00FB0DC7"/>
    <w:rsid w:val="00FB0E1E"/>
    <w:rsid w:val="00FB0E76"/>
    <w:rsid w:val="00FB189B"/>
    <w:rsid w:val="00FB1D3D"/>
    <w:rsid w:val="00FB2493"/>
    <w:rsid w:val="00FB256D"/>
    <w:rsid w:val="00FB2AA2"/>
    <w:rsid w:val="00FB2F3E"/>
    <w:rsid w:val="00FB32C0"/>
    <w:rsid w:val="00FB3320"/>
    <w:rsid w:val="00FB390A"/>
    <w:rsid w:val="00FB3953"/>
    <w:rsid w:val="00FB3DE8"/>
    <w:rsid w:val="00FB4796"/>
    <w:rsid w:val="00FB4EF9"/>
    <w:rsid w:val="00FB53AD"/>
    <w:rsid w:val="00FB59CD"/>
    <w:rsid w:val="00FB6EBE"/>
    <w:rsid w:val="00FB704F"/>
    <w:rsid w:val="00FB7EDC"/>
    <w:rsid w:val="00FC00C3"/>
    <w:rsid w:val="00FC0110"/>
    <w:rsid w:val="00FC01F8"/>
    <w:rsid w:val="00FC0406"/>
    <w:rsid w:val="00FC0D97"/>
    <w:rsid w:val="00FC1016"/>
    <w:rsid w:val="00FC19EE"/>
    <w:rsid w:val="00FC1BA2"/>
    <w:rsid w:val="00FC204D"/>
    <w:rsid w:val="00FC2C1D"/>
    <w:rsid w:val="00FC2C1E"/>
    <w:rsid w:val="00FC3215"/>
    <w:rsid w:val="00FC3309"/>
    <w:rsid w:val="00FC381D"/>
    <w:rsid w:val="00FC4974"/>
    <w:rsid w:val="00FC54D4"/>
    <w:rsid w:val="00FC554E"/>
    <w:rsid w:val="00FC5D6B"/>
    <w:rsid w:val="00FC5E2B"/>
    <w:rsid w:val="00FC606B"/>
    <w:rsid w:val="00FC6402"/>
    <w:rsid w:val="00FC6CE9"/>
    <w:rsid w:val="00FC7277"/>
    <w:rsid w:val="00FC72BF"/>
    <w:rsid w:val="00FC760F"/>
    <w:rsid w:val="00FC779E"/>
    <w:rsid w:val="00FC79BA"/>
    <w:rsid w:val="00FC7CA7"/>
    <w:rsid w:val="00FC7D8E"/>
    <w:rsid w:val="00FC7E86"/>
    <w:rsid w:val="00FD05CE"/>
    <w:rsid w:val="00FD076F"/>
    <w:rsid w:val="00FD095D"/>
    <w:rsid w:val="00FD10C9"/>
    <w:rsid w:val="00FD113A"/>
    <w:rsid w:val="00FD116B"/>
    <w:rsid w:val="00FD1D7D"/>
    <w:rsid w:val="00FD209A"/>
    <w:rsid w:val="00FD22CC"/>
    <w:rsid w:val="00FD23F6"/>
    <w:rsid w:val="00FD246A"/>
    <w:rsid w:val="00FD3010"/>
    <w:rsid w:val="00FD41B6"/>
    <w:rsid w:val="00FD437E"/>
    <w:rsid w:val="00FD4762"/>
    <w:rsid w:val="00FD4FD7"/>
    <w:rsid w:val="00FD51FC"/>
    <w:rsid w:val="00FD5250"/>
    <w:rsid w:val="00FD5986"/>
    <w:rsid w:val="00FD620E"/>
    <w:rsid w:val="00FD69FD"/>
    <w:rsid w:val="00FD7344"/>
    <w:rsid w:val="00FD78E8"/>
    <w:rsid w:val="00FD7A42"/>
    <w:rsid w:val="00FD7E24"/>
    <w:rsid w:val="00FD7F52"/>
    <w:rsid w:val="00FE0D29"/>
    <w:rsid w:val="00FE2333"/>
    <w:rsid w:val="00FE271E"/>
    <w:rsid w:val="00FE2B9C"/>
    <w:rsid w:val="00FE2F02"/>
    <w:rsid w:val="00FE36A0"/>
    <w:rsid w:val="00FE38DA"/>
    <w:rsid w:val="00FE3DB9"/>
    <w:rsid w:val="00FE465D"/>
    <w:rsid w:val="00FE467E"/>
    <w:rsid w:val="00FE4E85"/>
    <w:rsid w:val="00FE4EEA"/>
    <w:rsid w:val="00FE57BA"/>
    <w:rsid w:val="00FE592D"/>
    <w:rsid w:val="00FE5C64"/>
    <w:rsid w:val="00FE63A1"/>
    <w:rsid w:val="00FE646C"/>
    <w:rsid w:val="00FE65E0"/>
    <w:rsid w:val="00FE68F1"/>
    <w:rsid w:val="00FE6A82"/>
    <w:rsid w:val="00FE6BD1"/>
    <w:rsid w:val="00FE6BF5"/>
    <w:rsid w:val="00FE6F25"/>
    <w:rsid w:val="00FE7288"/>
    <w:rsid w:val="00FE7369"/>
    <w:rsid w:val="00FE73CE"/>
    <w:rsid w:val="00FE768E"/>
    <w:rsid w:val="00FE7D19"/>
    <w:rsid w:val="00FE7FCD"/>
    <w:rsid w:val="00FF0993"/>
    <w:rsid w:val="00FF1123"/>
    <w:rsid w:val="00FF2970"/>
    <w:rsid w:val="00FF3B71"/>
    <w:rsid w:val="00FF4565"/>
    <w:rsid w:val="00FF45E9"/>
    <w:rsid w:val="00FF5053"/>
    <w:rsid w:val="00FF5876"/>
    <w:rsid w:val="00FF6612"/>
    <w:rsid w:val="00FF6B9C"/>
    <w:rsid w:val="00FF703D"/>
    <w:rsid w:val="00FF707F"/>
    <w:rsid w:val="00FF740A"/>
    <w:rsid w:val="00FF7695"/>
    <w:rsid w:val="00FF7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DF059"/>
  <w15:docId w15:val="{6AF6D174-7381-4AFF-99FB-D8265917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F4"/>
    <w:pPr>
      <w:spacing w:line="288" w:lineRule="auto"/>
    </w:pPr>
    <w:rPr>
      <w:rFonts w:ascii="Roboto" w:hAnsi="Roboto" w:cstheme="minorBidi"/>
      <w:color w:val="222A35" w:themeColor="text2" w:themeShade="80"/>
      <w:szCs w:val="22"/>
    </w:rPr>
  </w:style>
  <w:style w:type="paragraph" w:styleId="Heading1">
    <w:name w:val="heading 1"/>
    <w:basedOn w:val="Normal"/>
    <w:next w:val="Normal"/>
    <w:link w:val="Heading1Char"/>
    <w:autoRedefine/>
    <w:uiPriority w:val="9"/>
    <w:qFormat/>
    <w:rsid w:val="00B456C1"/>
    <w:pPr>
      <w:keepNext/>
      <w:pBdr>
        <w:top w:val="single" w:sz="48" w:space="1" w:color="FFB81C"/>
        <w:left w:val="single" w:sz="48" w:space="4" w:color="FFB81C"/>
        <w:bottom w:val="single" w:sz="48" w:space="1" w:color="FFB81C"/>
        <w:right w:val="single" w:sz="48" w:space="4" w:color="FFB81C"/>
      </w:pBdr>
      <w:shd w:val="clear" w:color="auto" w:fill="FFB81C"/>
      <w:spacing w:before="240" w:after="240" w:line="240" w:lineRule="auto"/>
      <w:outlineLvl w:val="0"/>
    </w:pPr>
    <w:rPr>
      <w:rFonts w:ascii="Open Sans SemiBold" w:hAnsi="Open Sans SemiBold" w:cs="Times New Roman"/>
      <w:color w:val="385623" w:themeColor="accent6" w:themeShade="80"/>
      <w:sz w:val="44"/>
      <w:lang w:eastAsia="en-GB"/>
    </w:rPr>
  </w:style>
  <w:style w:type="paragraph" w:styleId="Heading2">
    <w:name w:val="heading 2"/>
    <w:basedOn w:val="Normal"/>
    <w:next w:val="Normal"/>
    <w:link w:val="Heading2Char"/>
    <w:autoRedefine/>
    <w:uiPriority w:val="1"/>
    <w:unhideWhenUsed/>
    <w:qFormat/>
    <w:rsid w:val="003F3086"/>
    <w:pPr>
      <w:keepNext/>
      <w:keepLines/>
      <w:spacing w:before="40" w:after="40" w:line="240" w:lineRule="auto"/>
      <w:outlineLvl w:val="1"/>
    </w:pPr>
    <w:rPr>
      <w:rFonts w:eastAsiaTheme="majorEastAsia" w:cstheme="majorBidi"/>
      <w:b/>
      <w:color w:val="auto"/>
      <w:szCs w:val="26"/>
      <w:lang w:val="en-US"/>
    </w:rPr>
  </w:style>
  <w:style w:type="paragraph" w:styleId="Heading3">
    <w:name w:val="heading 3"/>
    <w:basedOn w:val="Normal"/>
    <w:next w:val="Normal"/>
    <w:link w:val="Heading3Char"/>
    <w:autoRedefine/>
    <w:uiPriority w:val="9"/>
    <w:unhideWhenUsed/>
    <w:qFormat/>
    <w:rsid w:val="00791D87"/>
    <w:pPr>
      <w:keepNext/>
      <w:keepLines/>
      <w:outlineLvl w:val="2"/>
    </w:pPr>
    <w:rPr>
      <w:rFonts w:eastAsiaTheme="majorEastAsia" w:cs="Arial"/>
      <w:b/>
      <w:bCs/>
      <w:color w:val="385623" w:themeColor="accent6" w:themeShade="80"/>
    </w:rPr>
  </w:style>
  <w:style w:type="paragraph" w:styleId="Heading4">
    <w:name w:val="heading 4"/>
    <w:basedOn w:val="Normal"/>
    <w:next w:val="Normal"/>
    <w:link w:val="Heading4Char"/>
    <w:uiPriority w:val="9"/>
    <w:semiHidden/>
    <w:qFormat/>
    <w:rsid w:val="002A62C2"/>
    <w:pPr>
      <w:keepNext/>
      <w:keepLines/>
      <w:spacing w:before="80" w:after="40"/>
      <w:outlineLvl w:val="3"/>
    </w:pPr>
    <w:rPr>
      <w:rFonts w:asciiTheme="minorHAnsi" w:eastAsiaTheme="majorEastAsia" w:hAnsiTheme="minorHAnsi" w:cstheme="majorBidi"/>
      <w:i/>
      <w:iCs/>
      <w:color w:val="2F5496" w:themeColor="accent1" w:themeShade="BF"/>
      <w14:ligatures w14:val="standardContextual"/>
    </w:rPr>
  </w:style>
  <w:style w:type="paragraph" w:styleId="Heading5">
    <w:name w:val="heading 5"/>
    <w:basedOn w:val="Normal"/>
    <w:next w:val="Normal"/>
    <w:link w:val="Heading5Char"/>
    <w:uiPriority w:val="9"/>
    <w:unhideWhenUsed/>
    <w:qFormat/>
    <w:rsid w:val="00617F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17F5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B456C1"/>
    <w:rPr>
      <w:rFonts w:ascii="Open Sans SemiBold" w:hAnsi="Open Sans SemiBold"/>
      <w:color w:val="385623" w:themeColor="accent6" w:themeShade="80"/>
      <w:sz w:val="44"/>
      <w:szCs w:val="22"/>
      <w:shd w:val="clear" w:color="auto" w:fill="FFB81C"/>
      <w:lang w:eastAsia="en-GB"/>
    </w:rPr>
  </w:style>
  <w:style w:type="character" w:customStyle="1" w:styleId="Heading2Char">
    <w:name w:val="Heading 2 Char"/>
    <w:basedOn w:val="DefaultParagraphFont"/>
    <w:link w:val="Heading2"/>
    <w:uiPriority w:val="1"/>
    <w:rsid w:val="003F3086"/>
    <w:rPr>
      <w:rFonts w:ascii="Roboto" w:eastAsiaTheme="majorEastAsia" w:hAnsi="Roboto" w:cstheme="majorBidi"/>
      <w:b/>
      <w:szCs w:val="26"/>
      <w:lang w:val="en-US"/>
    </w:rPr>
  </w:style>
  <w:style w:type="character" w:customStyle="1" w:styleId="Heading3Char">
    <w:name w:val="Heading 3 Char"/>
    <w:basedOn w:val="DefaultParagraphFont"/>
    <w:link w:val="Heading3"/>
    <w:uiPriority w:val="9"/>
    <w:rsid w:val="00791D87"/>
    <w:rPr>
      <w:rFonts w:ascii="Roboto" w:eastAsiaTheme="majorEastAsia" w:hAnsi="Roboto" w:cs="Arial"/>
      <w:b/>
      <w:bCs/>
      <w:color w:val="385623" w:themeColor="accent6" w:themeShade="80"/>
      <w:szCs w:val="22"/>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Header1">
    <w:name w:val="Header 1"/>
    <w:basedOn w:val="Normal"/>
    <w:link w:val="Header1Char"/>
    <w:qFormat/>
    <w:rsid w:val="00A91857"/>
    <w:pPr>
      <w:numPr>
        <w:numId w:val="2"/>
      </w:numPr>
      <w:tabs>
        <w:tab w:val="left" w:pos="284"/>
        <w:tab w:val="left" w:pos="1440"/>
        <w:tab w:val="left" w:pos="2160"/>
        <w:tab w:val="left" w:pos="2880"/>
        <w:tab w:val="left" w:pos="4680"/>
        <w:tab w:val="left" w:pos="5400"/>
        <w:tab w:val="right" w:pos="9000"/>
      </w:tabs>
      <w:spacing w:line="240" w:lineRule="atLeast"/>
      <w:ind w:hanging="862"/>
    </w:pPr>
    <w:rPr>
      <w:rFonts w:asciiTheme="minorHAnsi" w:hAnsiTheme="minorHAnsi" w:cs="Arial"/>
      <w:b/>
      <w:sz w:val="32"/>
    </w:rPr>
  </w:style>
  <w:style w:type="character" w:customStyle="1" w:styleId="Header1Char">
    <w:name w:val="Header 1 Char"/>
    <w:basedOn w:val="DefaultParagraphFont"/>
    <w:link w:val="Header1"/>
    <w:rsid w:val="00A91857"/>
    <w:rPr>
      <w:rFonts w:asciiTheme="minorHAnsi" w:hAnsiTheme="minorHAnsi" w:cs="Arial"/>
      <w:b/>
      <w:color w:val="222A35" w:themeColor="text2" w:themeShade="80"/>
      <w:sz w:val="32"/>
      <w:szCs w:val="22"/>
    </w:rPr>
  </w:style>
  <w:style w:type="paragraph" w:styleId="IntenseQuote">
    <w:name w:val="Intense Quote"/>
    <w:basedOn w:val="Normal"/>
    <w:next w:val="Normal"/>
    <w:link w:val="IntenseQuoteChar"/>
    <w:autoRedefine/>
    <w:uiPriority w:val="30"/>
    <w:qFormat/>
    <w:rsid w:val="0003613C"/>
    <w:pPr>
      <w:pBdr>
        <w:top w:val="single" w:sz="6" w:space="10" w:color="FFB81C"/>
        <w:bottom w:val="single" w:sz="6" w:space="10" w:color="FFB81C"/>
      </w:pBdr>
      <w:spacing w:before="360" w:after="360"/>
      <w:ind w:left="862" w:right="862"/>
      <w:jc w:val="both"/>
    </w:pPr>
    <w:rPr>
      <w:rFonts w:eastAsia="Times New Roman" w:cs="Arial"/>
      <w:bCs/>
      <w:i/>
      <w:iCs/>
      <w:color w:val="FF0000"/>
      <w:shd w:val="clear" w:color="auto" w:fill="FFFFFF"/>
      <w:lang w:eastAsia="en-GB"/>
    </w:rPr>
  </w:style>
  <w:style w:type="character" w:customStyle="1" w:styleId="IntenseQuoteChar">
    <w:name w:val="Intense Quote Char"/>
    <w:basedOn w:val="DefaultParagraphFont"/>
    <w:link w:val="IntenseQuote"/>
    <w:uiPriority w:val="30"/>
    <w:rsid w:val="0003613C"/>
    <w:rPr>
      <w:rFonts w:ascii="Roboto" w:eastAsia="Times New Roman" w:hAnsi="Roboto" w:cs="Arial"/>
      <w:bCs/>
      <w:i/>
      <w:iCs/>
      <w:color w:val="FF0000"/>
      <w:szCs w:val="22"/>
      <w:lang w:eastAsia="en-GB"/>
    </w:rPr>
  </w:style>
  <w:style w:type="character" w:styleId="IntenseEmphasis">
    <w:name w:val="Intense Emphasis"/>
    <w:basedOn w:val="DefaultParagraphFont"/>
    <w:uiPriority w:val="21"/>
    <w:qFormat/>
    <w:rsid w:val="006937A5"/>
    <w:rPr>
      <w:rFonts w:ascii="Roboto Light" w:hAnsi="Roboto Light"/>
      <w:b w:val="0"/>
      <w:i w:val="0"/>
      <w:iCs/>
      <w:color w:val="222A35" w:themeColor="text2" w:themeShade="80"/>
      <w:sz w:val="22"/>
      <w:bdr w:val="none" w:sz="0" w:space="0" w:color="auto"/>
      <w:shd w:val="clear" w:color="auto" w:fill="FFB81C"/>
    </w:rPr>
  </w:style>
  <w:style w:type="paragraph" w:styleId="ListParagraph">
    <w:name w:val="List Paragraph"/>
    <w:basedOn w:val="Normal"/>
    <w:link w:val="ListParagraphChar"/>
    <w:uiPriority w:val="34"/>
    <w:qFormat/>
    <w:rsid w:val="006C77BF"/>
    <w:pPr>
      <w:ind w:left="720"/>
      <w:contextualSpacing/>
    </w:pPr>
  </w:style>
  <w:style w:type="character" w:styleId="SubtleEmphasis">
    <w:name w:val="Subtle Emphasis"/>
    <w:basedOn w:val="DefaultParagraphFont"/>
    <w:uiPriority w:val="19"/>
    <w:qFormat/>
    <w:rsid w:val="00826E4F"/>
    <w:rPr>
      <w:rFonts w:ascii="Arial" w:hAnsi="Arial"/>
      <w:b w:val="0"/>
      <w:i w:val="0"/>
      <w:iCs/>
      <w:color w:val="222A35" w:themeColor="text2" w:themeShade="80"/>
      <w:sz w:val="22"/>
      <w:bdr w:val="single" w:sz="4" w:space="0" w:color="FFC000" w:themeColor="accent4"/>
      <w:shd w:val="clear" w:color="auto" w:fill="FFC000" w:themeFill="accent4"/>
    </w:rPr>
  </w:style>
  <w:style w:type="paragraph" w:styleId="NoSpacing">
    <w:name w:val="No Spacing"/>
    <w:autoRedefine/>
    <w:uiPriority w:val="1"/>
    <w:qFormat/>
    <w:rsid w:val="00634849"/>
    <w:pPr>
      <w:spacing w:before="0" w:after="0"/>
    </w:pPr>
    <w:rPr>
      <w:rFonts w:ascii="Roboto Light" w:hAnsi="Roboto Light" w:cstheme="minorBidi"/>
      <w:color w:val="222A35" w:themeColor="text2" w:themeShade="80"/>
      <w:sz w:val="22"/>
      <w:szCs w:val="22"/>
    </w:rPr>
  </w:style>
  <w:style w:type="paragraph" w:styleId="Title">
    <w:name w:val="Title"/>
    <w:basedOn w:val="Normal"/>
    <w:next w:val="Normal"/>
    <w:link w:val="TitleChar"/>
    <w:uiPriority w:val="10"/>
    <w:qFormat/>
    <w:rsid w:val="00634849"/>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634849"/>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6348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4849"/>
    <w:rPr>
      <w:rFonts w:ascii="Open Sans" w:eastAsiaTheme="minorEastAsia" w:hAnsi="Open Sans" w:cstheme="minorBidi"/>
      <w:color w:val="5A5A5A" w:themeColor="text1" w:themeTint="A5"/>
      <w:spacing w:val="15"/>
      <w:sz w:val="22"/>
      <w:szCs w:val="22"/>
    </w:rPr>
  </w:style>
  <w:style w:type="character" w:styleId="Emphasis">
    <w:name w:val="Emphasis"/>
    <w:basedOn w:val="DefaultParagraphFont"/>
    <w:uiPriority w:val="20"/>
    <w:qFormat/>
    <w:rsid w:val="00634849"/>
    <w:rPr>
      <w:rFonts w:ascii="Roboto Light" w:hAnsi="Roboto Light"/>
      <w:i/>
      <w:iCs/>
      <w:sz w:val="22"/>
    </w:rPr>
  </w:style>
  <w:style w:type="paragraph" w:styleId="TOC1">
    <w:name w:val="toc 1"/>
    <w:basedOn w:val="Normal"/>
    <w:next w:val="Normal"/>
    <w:link w:val="TOC1Char"/>
    <w:autoRedefine/>
    <w:uiPriority w:val="39"/>
    <w:unhideWhenUsed/>
    <w:rsid w:val="00F77E6F"/>
    <w:pPr>
      <w:spacing w:after="100"/>
    </w:pPr>
    <w:rPr>
      <w:rFonts w:ascii="Open Sans SemiBold" w:hAnsi="Open Sans SemiBold"/>
      <w:sz w:val="28"/>
    </w:rPr>
  </w:style>
  <w:style w:type="paragraph" w:styleId="TOC2">
    <w:name w:val="toc 2"/>
    <w:basedOn w:val="Normal"/>
    <w:next w:val="Normal"/>
    <w:autoRedefine/>
    <w:uiPriority w:val="39"/>
    <w:unhideWhenUsed/>
    <w:rsid w:val="00F77E6F"/>
    <w:pPr>
      <w:spacing w:after="100"/>
      <w:ind w:left="220"/>
    </w:pPr>
    <w:rPr>
      <w:rFonts w:ascii="Roboto Light" w:hAnsi="Roboto Light"/>
    </w:rPr>
  </w:style>
  <w:style w:type="character" w:styleId="Hyperlink">
    <w:name w:val="Hyperlink"/>
    <w:basedOn w:val="DefaultParagraphFont"/>
    <w:uiPriority w:val="99"/>
    <w:unhideWhenUsed/>
    <w:rsid w:val="000D6416"/>
    <w:rPr>
      <w:color w:val="0563C1" w:themeColor="hyperlink"/>
      <w:u w:val="single"/>
    </w:rPr>
  </w:style>
  <w:style w:type="table" w:styleId="TableGrid">
    <w:name w:val="Table Grid"/>
    <w:basedOn w:val="TableNormal"/>
    <w:uiPriority w:val="39"/>
    <w:rsid w:val="00E86A76"/>
    <w:pPr>
      <w:spacing w:before="0" w:after="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77BB5"/>
    <w:pPr>
      <w:spacing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877BB5"/>
    <w:rPr>
      <w:rFonts w:eastAsia="Times New Roman"/>
      <w:sz w:val="20"/>
      <w:szCs w:val="20"/>
    </w:rPr>
  </w:style>
  <w:style w:type="character" w:styleId="FootnoteReference">
    <w:name w:val="footnote reference"/>
    <w:basedOn w:val="DefaultParagraphFont"/>
    <w:uiPriority w:val="99"/>
    <w:semiHidden/>
    <w:unhideWhenUsed/>
    <w:rsid w:val="00877BB5"/>
    <w:rPr>
      <w:vertAlign w:val="superscript"/>
    </w:rPr>
  </w:style>
  <w:style w:type="character" w:customStyle="1" w:styleId="ListParagraphChar">
    <w:name w:val="List Paragraph Char"/>
    <w:link w:val="ListParagraph"/>
    <w:uiPriority w:val="34"/>
    <w:locked/>
    <w:rsid w:val="000F3CC2"/>
    <w:rPr>
      <w:rFonts w:cstheme="minorBidi"/>
      <w:color w:val="222A35" w:themeColor="text2" w:themeShade="80"/>
      <w:sz w:val="22"/>
      <w:szCs w:val="22"/>
    </w:rPr>
  </w:style>
  <w:style w:type="paragraph" w:styleId="Caption">
    <w:name w:val="caption"/>
    <w:basedOn w:val="Normal"/>
    <w:next w:val="Normal"/>
    <w:uiPriority w:val="35"/>
    <w:unhideWhenUsed/>
    <w:qFormat/>
    <w:rsid w:val="008D596B"/>
    <w:pPr>
      <w:spacing w:after="200"/>
    </w:pPr>
    <w:rPr>
      <w:i/>
      <w:iCs/>
      <w:color w:val="44546A" w:themeColor="text2"/>
      <w:sz w:val="18"/>
      <w:szCs w:val="18"/>
    </w:rPr>
  </w:style>
  <w:style w:type="paragraph" w:customStyle="1" w:styleId="Tables">
    <w:name w:val="Tables"/>
    <w:basedOn w:val="Normal"/>
    <w:link w:val="TablesChar"/>
    <w:qFormat/>
    <w:rsid w:val="00CB3E33"/>
    <w:pPr>
      <w:spacing w:line="240" w:lineRule="auto"/>
    </w:pPr>
    <w:rPr>
      <w:rFonts w:asciiTheme="minorHAnsi" w:eastAsia="Times New Roman" w:hAnsiTheme="minorHAnsi"/>
      <w:color w:val="000000" w:themeColor="text1"/>
      <w:sz w:val="20"/>
    </w:rPr>
  </w:style>
  <w:style w:type="character" w:customStyle="1" w:styleId="TablesChar">
    <w:name w:val="Tables Char"/>
    <w:basedOn w:val="DefaultParagraphFont"/>
    <w:link w:val="Tables"/>
    <w:rsid w:val="00CB3E33"/>
    <w:rPr>
      <w:rFonts w:asciiTheme="minorHAnsi" w:eastAsia="Times New Roman" w:hAnsiTheme="minorHAnsi" w:cstheme="minorBidi"/>
      <w:color w:val="000000" w:themeColor="text1"/>
      <w:sz w:val="20"/>
      <w:szCs w:val="22"/>
    </w:rPr>
  </w:style>
  <w:style w:type="character" w:styleId="CommentReference">
    <w:name w:val="annotation reference"/>
    <w:basedOn w:val="DefaultParagraphFont"/>
    <w:uiPriority w:val="99"/>
    <w:semiHidden/>
    <w:unhideWhenUsed/>
    <w:rsid w:val="00893E1E"/>
    <w:rPr>
      <w:sz w:val="16"/>
      <w:szCs w:val="16"/>
    </w:rPr>
  </w:style>
  <w:style w:type="paragraph" w:styleId="CommentText">
    <w:name w:val="annotation text"/>
    <w:basedOn w:val="Normal"/>
    <w:link w:val="CommentTextChar"/>
    <w:uiPriority w:val="99"/>
    <w:unhideWhenUsed/>
    <w:rsid w:val="00893E1E"/>
    <w:pPr>
      <w:spacing w:line="240" w:lineRule="auto"/>
    </w:pPr>
    <w:rPr>
      <w:sz w:val="20"/>
      <w:szCs w:val="20"/>
    </w:rPr>
  </w:style>
  <w:style w:type="character" w:customStyle="1" w:styleId="CommentTextChar">
    <w:name w:val="Comment Text Char"/>
    <w:basedOn w:val="DefaultParagraphFont"/>
    <w:link w:val="CommentText"/>
    <w:uiPriority w:val="99"/>
    <w:rsid w:val="00893E1E"/>
    <w:rPr>
      <w:rFonts w:cstheme="minorBidi"/>
      <w:color w:val="222A35" w:themeColor="text2" w:themeShade="80"/>
      <w:sz w:val="20"/>
      <w:szCs w:val="20"/>
    </w:rPr>
  </w:style>
  <w:style w:type="paragraph" w:styleId="CommentSubject">
    <w:name w:val="annotation subject"/>
    <w:basedOn w:val="CommentText"/>
    <w:next w:val="CommentText"/>
    <w:link w:val="CommentSubjectChar"/>
    <w:uiPriority w:val="99"/>
    <w:semiHidden/>
    <w:unhideWhenUsed/>
    <w:rsid w:val="0007032A"/>
    <w:pPr>
      <w:spacing w:after="0"/>
    </w:pPr>
    <w:rPr>
      <w:b/>
      <w:bCs/>
    </w:rPr>
  </w:style>
  <w:style w:type="character" w:customStyle="1" w:styleId="CommentSubjectChar">
    <w:name w:val="Comment Subject Char"/>
    <w:basedOn w:val="CommentTextChar"/>
    <w:link w:val="CommentSubject"/>
    <w:uiPriority w:val="99"/>
    <w:semiHidden/>
    <w:rsid w:val="0007032A"/>
    <w:rPr>
      <w:rFonts w:cstheme="minorBidi"/>
      <w:b/>
      <w:bCs/>
      <w:color w:val="222A35" w:themeColor="text2" w:themeShade="80"/>
      <w:sz w:val="20"/>
      <w:szCs w:val="20"/>
    </w:rPr>
  </w:style>
  <w:style w:type="paragraph" w:styleId="Bibliography">
    <w:name w:val="Bibliography"/>
    <w:basedOn w:val="Normal"/>
    <w:next w:val="Normal"/>
    <w:uiPriority w:val="37"/>
    <w:unhideWhenUsed/>
    <w:rsid w:val="006E7864"/>
  </w:style>
  <w:style w:type="paragraph" w:styleId="NormalWeb">
    <w:name w:val="Normal (Web)"/>
    <w:basedOn w:val="Normal"/>
    <w:uiPriority w:val="99"/>
    <w:semiHidden/>
    <w:unhideWhenUsed/>
    <w:rsid w:val="00056A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056AF0"/>
    <w:rPr>
      <w:b/>
      <w:bCs/>
    </w:rPr>
  </w:style>
  <w:style w:type="table" w:customStyle="1" w:styleId="TableGrid39">
    <w:name w:val="Table Grid39"/>
    <w:basedOn w:val="TableNormal"/>
    <w:next w:val="TableGrid"/>
    <w:uiPriority w:val="59"/>
    <w:rsid w:val="009E7A6C"/>
    <w:pPr>
      <w:spacing w:before="0" w:after="0"/>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28"/>
    <w:rPr>
      <w:color w:val="954F72" w:themeColor="followedHyperlink"/>
      <w:u w:val="single"/>
    </w:rPr>
  </w:style>
  <w:style w:type="paragraph" w:styleId="Revision">
    <w:name w:val="Revision"/>
    <w:hidden/>
    <w:uiPriority w:val="99"/>
    <w:semiHidden/>
    <w:rsid w:val="00CA3028"/>
    <w:pPr>
      <w:spacing w:before="0" w:after="0"/>
    </w:pPr>
    <w:rPr>
      <w:rFonts w:cstheme="minorBidi"/>
      <w:color w:val="222A35" w:themeColor="text2" w:themeShade="80"/>
      <w:sz w:val="22"/>
      <w:szCs w:val="22"/>
    </w:rPr>
  </w:style>
  <w:style w:type="character" w:customStyle="1" w:styleId="cf01">
    <w:name w:val="cf01"/>
    <w:basedOn w:val="DefaultParagraphFont"/>
    <w:rsid w:val="00CA799C"/>
    <w:rPr>
      <w:rFonts w:ascii="Segoe UI" w:hAnsi="Segoe UI" w:cs="Segoe UI" w:hint="default"/>
      <w:color w:val="222A35"/>
      <w:sz w:val="18"/>
      <w:szCs w:val="18"/>
    </w:rPr>
  </w:style>
  <w:style w:type="paragraph" w:styleId="TableofFigures">
    <w:name w:val="table of figures"/>
    <w:basedOn w:val="Normal"/>
    <w:next w:val="Normal"/>
    <w:uiPriority w:val="99"/>
    <w:unhideWhenUsed/>
    <w:rsid w:val="00CA3571"/>
    <w:pPr>
      <w:spacing w:before="40" w:after="40"/>
    </w:pPr>
    <w:rPr>
      <w:rFonts w:ascii="Roboto Light" w:hAnsi="Roboto Light"/>
      <w:sz w:val="20"/>
    </w:rPr>
  </w:style>
  <w:style w:type="paragraph" w:styleId="TOC3">
    <w:name w:val="toc 3"/>
    <w:basedOn w:val="Normal"/>
    <w:next w:val="Normal"/>
    <w:autoRedefine/>
    <w:uiPriority w:val="39"/>
    <w:unhideWhenUsed/>
    <w:rsid w:val="00F77E6F"/>
    <w:pPr>
      <w:tabs>
        <w:tab w:val="right" w:leader="dot" w:pos="9016"/>
      </w:tabs>
      <w:spacing w:after="100"/>
      <w:ind w:left="442"/>
    </w:pPr>
    <w:rPr>
      <w:rFonts w:ascii="Roboto Light" w:hAnsi="Roboto Light"/>
    </w:rPr>
  </w:style>
  <w:style w:type="paragraph" w:customStyle="1" w:styleId="FrontPageTitle">
    <w:name w:val="Front Page Title"/>
    <w:basedOn w:val="Normal"/>
    <w:qFormat/>
    <w:rsid w:val="008E54DF"/>
    <w:pPr>
      <w:autoSpaceDE w:val="0"/>
      <w:autoSpaceDN w:val="0"/>
      <w:adjustRightInd w:val="0"/>
      <w:snapToGrid w:val="0"/>
      <w:spacing w:before="0" w:line="221" w:lineRule="auto"/>
      <w:textAlignment w:val="center"/>
    </w:pPr>
    <w:rPr>
      <w:rFonts w:cs="Open Sans"/>
      <w:b/>
      <w:bCs/>
      <w:color w:val="3B3838" w:themeColor="background2" w:themeShade="40"/>
      <w:spacing w:val="-60"/>
      <w:sz w:val="76"/>
      <w:szCs w:val="76"/>
    </w:rPr>
  </w:style>
  <w:style w:type="character" w:styleId="UnresolvedMention">
    <w:name w:val="Unresolved Mention"/>
    <w:basedOn w:val="DefaultParagraphFont"/>
    <w:uiPriority w:val="99"/>
    <w:semiHidden/>
    <w:unhideWhenUsed/>
    <w:rsid w:val="00F1512A"/>
    <w:rPr>
      <w:color w:val="605E5C"/>
      <w:shd w:val="clear" w:color="auto" w:fill="E1DFDD"/>
    </w:rPr>
  </w:style>
  <w:style w:type="paragraph" w:customStyle="1" w:styleId="contentstable">
    <w:name w:val="contents table"/>
    <w:basedOn w:val="TOC1"/>
    <w:link w:val="contentstableChar"/>
    <w:rsid w:val="0073601C"/>
    <w:pPr>
      <w:shd w:val="clear" w:color="auto" w:fill="FFF4E4"/>
      <w:tabs>
        <w:tab w:val="right" w:leader="dot" w:pos="9016"/>
      </w:tabs>
    </w:pPr>
    <w:rPr>
      <w:noProof/>
    </w:rPr>
  </w:style>
  <w:style w:type="character" w:customStyle="1" w:styleId="TOC1Char">
    <w:name w:val="TOC 1 Char"/>
    <w:basedOn w:val="DefaultParagraphFont"/>
    <w:link w:val="TOC1"/>
    <w:uiPriority w:val="39"/>
    <w:rsid w:val="00F77E6F"/>
    <w:rPr>
      <w:rFonts w:ascii="Open Sans SemiBold" w:hAnsi="Open Sans SemiBold" w:cstheme="minorBidi"/>
      <w:color w:val="222A35" w:themeColor="text2" w:themeShade="80"/>
      <w:sz w:val="28"/>
      <w:szCs w:val="22"/>
    </w:rPr>
  </w:style>
  <w:style w:type="character" w:customStyle="1" w:styleId="contentstableChar">
    <w:name w:val="contents table Char"/>
    <w:basedOn w:val="TOC1Char"/>
    <w:link w:val="contentstable"/>
    <w:rsid w:val="0073601C"/>
    <w:rPr>
      <w:rFonts w:ascii="Open Sans SemiBold" w:hAnsi="Open Sans SemiBold" w:cstheme="minorBidi"/>
      <w:noProof/>
      <w:color w:val="222A35" w:themeColor="text2" w:themeShade="80"/>
      <w:sz w:val="28"/>
      <w:szCs w:val="22"/>
      <w:shd w:val="clear" w:color="auto" w:fill="FFF4E4"/>
    </w:rPr>
  </w:style>
  <w:style w:type="paragraph" w:styleId="TOC5">
    <w:name w:val="toc 5"/>
    <w:basedOn w:val="Normal"/>
    <w:next w:val="Normal"/>
    <w:autoRedefine/>
    <w:uiPriority w:val="39"/>
    <w:unhideWhenUsed/>
    <w:rsid w:val="00CA3571"/>
    <w:pPr>
      <w:spacing w:after="100"/>
      <w:ind w:left="880"/>
    </w:pPr>
    <w:rPr>
      <w:rFonts w:ascii="Roboto Light" w:hAnsi="Roboto Light"/>
      <w:sz w:val="20"/>
    </w:rPr>
  </w:style>
  <w:style w:type="paragraph" w:styleId="TOCHeading">
    <w:name w:val="TOC Heading"/>
    <w:basedOn w:val="Heading1"/>
    <w:next w:val="Normal"/>
    <w:uiPriority w:val="39"/>
    <w:unhideWhenUsed/>
    <w:qFormat/>
    <w:rsid w:val="00050950"/>
    <w:pPr>
      <w:keepLines/>
      <w:pBdr>
        <w:top w:val="single" w:sz="24" w:space="1" w:color="FFB81C"/>
        <w:left w:val="single" w:sz="24" w:space="4" w:color="FFB81C"/>
        <w:bottom w:val="single" w:sz="24" w:space="1" w:color="FFB81C"/>
        <w:right w:val="single" w:sz="24" w:space="4" w:color="FFB81C"/>
      </w:pBdr>
      <w:spacing w:after="0" w:line="288" w:lineRule="auto"/>
      <w:outlineLvl w:val="9"/>
    </w:pPr>
    <w:rPr>
      <w:rFonts w:ascii="Open Sans" w:eastAsiaTheme="majorEastAsia" w:hAnsi="Open Sans" w:cstheme="majorBidi"/>
      <w:sz w:val="32"/>
      <w:szCs w:val="32"/>
    </w:rPr>
  </w:style>
  <w:style w:type="paragraph" w:styleId="TOC4">
    <w:name w:val="toc 4"/>
    <w:basedOn w:val="Normal"/>
    <w:next w:val="Normal"/>
    <w:autoRedefine/>
    <w:uiPriority w:val="39"/>
    <w:unhideWhenUsed/>
    <w:rsid w:val="00E93BA2"/>
    <w:pPr>
      <w:spacing w:before="0" w:after="100" w:line="278" w:lineRule="auto"/>
      <w:ind w:left="720"/>
    </w:pPr>
    <w:rPr>
      <w:rFonts w:asciiTheme="minorHAnsi" w:eastAsiaTheme="minorEastAsia" w:hAnsiTheme="minorHAnsi"/>
      <w:color w:val="auto"/>
      <w:kern w:val="2"/>
      <w:szCs w:val="24"/>
      <w:lang w:eastAsia="en-GB"/>
      <w14:ligatures w14:val="standardContextual"/>
    </w:rPr>
  </w:style>
  <w:style w:type="paragraph" w:styleId="TOC6">
    <w:name w:val="toc 6"/>
    <w:basedOn w:val="Normal"/>
    <w:next w:val="Normal"/>
    <w:autoRedefine/>
    <w:uiPriority w:val="39"/>
    <w:unhideWhenUsed/>
    <w:rsid w:val="00E93BA2"/>
    <w:pPr>
      <w:spacing w:before="0" w:after="100" w:line="278" w:lineRule="auto"/>
      <w:ind w:left="1200"/>
    </w:pPr>
    <w:rPr>
      <w:rFonts w:asciiTheme="minorHAnsi" w:eastAsiaTheme="minorEastAsia" w:hAnsiTheme="minorHAnsi"/>
      <w:color w:val="auto"/>
      <w:kern w:val="2"/>
      <w:szCs w:val="24"/>
      <w:lang w:eastAsia="en-GB"/>
      <w14:ligatures w14:val="standardContextual"/>
    </w:rPr>
  </w:style>
  <w:style w:type="paragraph" w:styleId="TOC7">
    <w:name w:val="toc 7"/>
    <w:basedOn w:val="Normal"/>
    <w:next w:val="Normal"/>
    <w:autoRedefine/>
    <w:uiPriority w:val="39"/>
    <w:unhideWhenUsed/>
    <w:rsid w:val="00E93BA2"/>
    <w:pPr>
      <w:spacing w:before="0" w:after="100" w:line="278" w:lineRule="auto"/>
      <w:ind w:left="1440"/>
    </w:pPr>
    <w:rPr>
      <w:rFonts w:asciiTheme="minorHAnsi" w:eastAsiaTheme="minorEastAsia" w:hAnsiTheme="minorHAnsi"/>
      <w:color w:val="auto"/>
      <w:kern w:val="2"/>
      <w:szCs w:val="24"/>
      <w:lang w:eastAsia="en-GB"/>
      <w14:ligatures w14:val="standardContextual"/>
    </w:rPr>
  </w:style>
  <w:style w:type="paragraph" w:styleId="TOC8">
    <w:name w:val="toc 8"/>
    <w:basedOn w:val="Normal"/>
    <w:next w:val="Normal"/>
    <w:autoRedefine/>
    <w:uiPriority w:val="39"/>
    <w:unhideWhenUsed/>
    <w:rsid w:val="00E93BA2"/>
    <w:pPr>
      <w:spacing w:before="0" w:after="100" w:line="278" w:lineRule="auto"/>
      <w:ind w:left="1680"/>
    </w:pPr>
    <w:rPr>
      <w:rFonts w:asciiTheme="minorHAnsi" w:eastAsiaTheme="minorEastAsia" w:hAnsiTheme="minorHAnsi"/>
      <w:color w:val="auto"/>
      <w:kern w:val="2"/>
      <w:szCs w:val="24"/>
      <w:lang w:eastAsia="en-GB"/>
      <w14:ligatures w14:val="standardContextual"/>
    </w:rPr>
  </w:style>
  <w:style w:type="paragraph" w:styleId="TOC9">
    <w:name w:val="toc 9"/>
    <w:basedOn w:val="Normal"/>
    <w:next w:val="Normal"/>
    <w:autoRedefine/>
    <w:uiPriority w:val="39"/>
    <w:unhideWhenUsed/>
    <w:rsid w:val="00E93BA2"/>
    <w:pPr>
      <w:spacing w:before="0" w:after="100" w:line="278" w:lineRule="auto"/>
      <w:ind w:left="1920"/>
    </w:pPr>
    <w:rPr>
      <w:rFonts w:asciiTheme="minorHAnsi" w:eastAsiaTheme="minorEastAsia" w:hAnsiTheme="minorHAnsi"/>
      <w:color w:val="auto"/>
      <w:kern w:val="2"/>
      <w:szCs w:val="24"/>
      <w:lang w:eastAsia="en-GB"/>
      <w14:ligatures w14:val="standardContextual"/>
    </w:rPr>
  </w:style>
  <w:style w:type="character" w:customStyle="1" w:styleId="Heading4Char">
    <w:name w:val="Heading 4 Char"/>
    <w:basedOn w:val="DefaultParagraphFont"/>
    <w:link w:val="Heading4"/>
    <w:uiPriority w:val="9"/>
    <w:semiHidden/>
    <w:rsid w:val="002A62C2"/>
    <w:rPr>
      <w:rFonts w:asciiTheme="minorHAnsi" w:eastAsiaTheme="majorEastAsia" w:hAnsiTheme="minorHAnsi" w:cstheme="majorBidi"/>
      <w:i/>
      <w:iCs/>
      <w:color w:val="2F5496" w:themeColor="accent1" w:themeShade="BF"/>
      <w:szCs w:val="22"/>
      <w14:ligatures w14:val="standardContextual"/>
    </w:rPr>
  </w:style>
  <w:style w:type="character" w:customStyle="1" w:styleId="Heading5Char">
    <w:name w:val="Heading 5 Char"/>
    <w:basedOn w:val="DefaultParagraphFont"/>
    <w:link w:val="Heading5"/>
    <w:uiPriority w:val="9"/>
    <w:rsid w:val="00617F53"/>
    <w:rPr>
      <w:rFonts w:asciiTheme="majorHAnsi" w:eastAsiaTheme="majorEastAsia" w:hAnsiTheme="majorHAnsi" w:cstheme="majorBidi"/>
      <w:color w:val="2F5496" w:themeColor="accent1" w:themeShade="BF"/>
      <w:szCs w:val="22"/>
    </w:rPr>
  </w:style>
  <w:style w:type="character" w:customStyle="1" w:styleId="Heading6Char">
    <w:name w:val="Heading 6 Char"/>
    <w:basedOn w:val="DefaultParagraphFont"/>
    <w:link w:val="Heading6"/>
    <w:uiPriority w:val="9"/>
    <w:semiHidden/>
    <w:rsid w:val="00617F53"/>
    <w:rPr>
      <w:rFonts w:asciiTheme="majorHAnsi" w:eastAsiaTheme="majorEastAsia" w:hAnsiTheme="majorHAnsi" w:cstheme="majorBidi"/>
      <w:color w:val="1F3763" w:themeColor="accent1" w:themeShade="7F"/>
      <w:szCs w:val="22"/>
    </w:rPr>
  </w:style>
  <w:style w:type="paragraph" w:customStyle="1" w:styleId="pf0">
    <w:name w:val="pf0"/>
    <w:basedOn w:val="Normal"/>
    <w:rsid w:val="00B16F0A"/>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Quote">
    <w:name w:val="Quote"/>
    <w:basedOn w:val="Normal"/>
    <w:next w:val="Normal"/>
    <w:link w:val="QuoteChar"/>
    <w:uiPriority w:val="29"/>
    <w:qFormat/>
    <w:rsid w:val="00AF65B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F65B3"/>
    <w:rPr>
      <w:rFonts w:ascii="Roboto" w:hAnsi="Roboto" w:cstheme="minorBidi"/>
      <w:i/>
      <w:iCs/>
      <w:color w:val="404040" w:themeColor="text1" w:themeTint="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877">
      <w:bodyDiv w:val="1"/>
      <w:marLeft w:val="0"/>
      <w:marRight w:val="0"/>
      <w:marTop w:val="0"/>
      <w:marBottom w:val="0"/>
      <w:divBdr>
        <w:top w:val="none" w:sz="0" w:space="0" w:color="auto"/>
        <w:left w:val="none" w:sz="0" w:space="0" w:color="auto"/>
        <w:bottom w:val="none" w:sz="0" w:space="0" w:color="auto"/>
        <w:right w:val="none" w:sz="0" w:space="0" w:color="auto"/>
      </w:divBdr>
    </w:div>
    <w:div w:id="31882268">
      <w:bodyDiv w:val="1"/>
      <w:marLeft w:val="0"/>
      <w:marRight w:val="0"/>
      <w:marTop w:val="0"/>
      <w:marBottom w:val="0"/>
      <w:divBdr>
        <w:top w:val="none" w:sz="0" w:space="0" w:color="auto"/>
        <w:left w:val="none" w:sz="0" w:space="0" w:color="auto"/>
        <w:bottom w:val="none" w:sz="0" w:space="0" w:color="auto"/>
        <w:right w:val="none" w:sz="0" w:space="0" w:color="auto"/>
      </w:divBdr>
    </w:div>
    <w:div w:id="41028685">
      <w:bodyDiv w:val="1"/>
      <w:marLeft w:val="0"/>
      <w:marRight w:val="0"/>
      <w:marTop w:val="0"/>
      <w:marBottom w:val="0"/>
      <w:divBdr>
        <w:top w:val="none" w:sz="0" w:space="0" w:color="auto"/>
        <w:left w:val="none" w:sz="0" w:space="0" w:color="auto"/>
        <w:bottom w:val="none" w:sz="0" w:space="0" w:color="auto"/>
        <w:right w:val="none" w:sz="0" w:space="0" w:color="auto"/>
      </w:divBdr>
    </w:div>
    <w:div w:id="51738543">
      <w:bodyDiv w:val="1"/>
      <w:marLeft w:val="0"/>
      <w:marRight w:val="0"/>
      <w:marTop w:val="0"/>
      <w:marBottom w:val="0"/>
      <w:divBdr>
        <w:top w:val="none" w:sz="0" w:space="0" w:color="auto"/>
        <w:left w:val="none" w:sz="0" w:space="0" w:color="auto"/>
        <w:bottom w:val="none" w:sz="0" w:space="0" w:color="auto"/>
        <w:right w:val="none" w:sz="0" w:space="0" w:color="auto"/>
      </w:divBdr>
    </w:div>
    <w:div w:id="59179389">
      <w:bodyDiv w:val="1"/>
      <w:marLeft w:val="0"/>
      <w:marRight w:val="0"/>
      <w:marTop w:val="0"/>
      <w:marBottom w:val="0"/>
      <w:divBdr>
        <w:top w:val="none" w:sz="0" w:space="0" w:color="auto"/>
        <w:left w:val="none" w:sz="0" w:space="0" w:color="auto"/>
        <w:bottom w:val="none" w:sz="0" w:space="0" w:color="auto"/>
        <w:right w:val="none" w:sz="0" w:space="0" w:color="auto"/>
      </w:divBdr>
    </w:div>
    <w:div w:id="69544834">
      <w:bodyDiv w:val="1"/>
      <w:marLeft w:val="0"/>
      <w:marRight w:val="0"/>
      <w:marTop w:val="0"/>
      <w:marBottom w:val="0"/>
      <w:divBdr>
        <w:top w:val="none" w:sz="0" w:space="0" w:color="auto"/>
        <w:left w:val="none" w:sz="0" w:space="0" w:color="auto"/>
        <w:bottom w:val="none" w:sz="0" w:space="0" w:color="auto"/>
        <w:right w:val="none" w:sz="0" w:space="0" w:color="auto"/>
      </w:divBdr>
    </w:div>
    <w:div w:id="69742545">
      <w:bodyDiv w:val="1"/>
      <w:marLeft w:val="0"/>
      <w:marRight w:val="0"/>
      <w:marTop w:val="0"/>
      <w:marBottom w:val="0"/>
      <w:divBdr>
        <w:top w:val="none" w:sz="0" w:space="0" w:color="auto"/>
        <w:left w:val="none" w:sz="0" w:space="0" w:color="auto"/>
        <w:bottom w:val="none" w:sz="0" w:space="0" w:color="auto"/>
        <w:right w:val="none" w:sz="0" w:space="0" w:color="auto"/>
      </w:divBdr>
    </w:div>
    <w:div w:id="75397521">
      <w:bodyDiv w:val="1"/>
      <w:marLeft w:val="0"/>
      <w:marRight w:val="0"/>
      <w:marTop w:val="0"/>
      <w:marBottom w:val="0"/>
      <w:divBdr>
        <w:top w:val="none" w:sz="0" w:space="0" w:color="auto"/>
        <w:left w:val="none" w:sz="0" w:space="0" w:color="auto"/>
        <w:bottom w:val="none" w:sz="0" w:space="0" w:color="auto"/>
        <w:right w:val="none" w:sz="0" w:space="0" w:color="auto"/>
      </w:divBdr>
    </w:div>
    <w:div w:id="84812597">
      <w:bodyDiv w:val="1"/>
      <w:marLeft w:val="0"/>
      <w:marRight w:val="0"/>
      <w:marTop w:val="0"/>
      <w:marBottom w:val="0"/>
      <w:divBdr>
        <w:top w:val="none" w:sz="0" w:space="0" w:color="auto"/>
        <w:left w:val="none" w:sz="0" w:space="0" w:color="auto"/>
        <w:bottom w:val="none" w:sz="0" w:space="0" w:color="auto"/>
        <w:right w:val="none" w:sz="0" w:space="0" w:color="auto"/>
      </w:divBdr>
    </w:div>
    <w:div w:id="85880795">
      <w:bodyDiv w:val="1"/>
      <w:marLeft w:val="0"/>
      <w:marRight w:val="0"/>
      <w:marTop w:val="0"/>
      <w:marBottom w:val="0"/>
      <w:divBdr>
        <w:top w:val="none" w:sz="0" w:space="0" w:color="auto"/>
        <w:left w:val="none" w:sz="0" w:space="0" w:color="auto"/>
        <w:bottom w:val="none" w:sz="0" w:space="0" w:color="auto"/>
        <w:right w:val="none" w:sz="0" w:space="0" w:color="auto"/>
      </w:divBdr>
    </w:div>
    <w:div w:id="95905793">
      <w:bodyDiv w:val="1"/>
      <w:marLeft w:val="0"/>
      <w:marRight w:val="0"/>
      <w:marTop w:val="0"/>
      <w:marBottom w:val="0"/>
      <w:divBdr>
        <w:top w:val="none" w:sz="0" w:space="0" w:color="auto"/>
        <w:left w:val="none" w:sz="0" w:space="0" w:color="auto"/>
        <w:bottom w:val="none" w:sz="0" w:space="0" w:color="auto"/>
        <w:right w:val="none" w:sz="0" w:space="0" w:color="auto"/>
      </w:divBdr>
    </w:div>
    <w:div w:id="131875423">
      <w:bodyDiv w:val="1"/>
      <w:marLeft w:val="0"/>
      <w:marRight w:val="0"/>
      <w:marTop w:val="0"/>
      <w:marBottom w:val="0"/>
      <w:divBdr>
        <w:top w:val="none" w:sz="0" w:space="0" w:color="auto"/>
        <w:left w:val="none" w:sz="0" w:space="0" w:color="auto"/>
        <w:bottom w:val="none" w:sz="0" w:space="0" w:color="auto"/>
        <w:right w:val="none" w:sz="0" w:space="0" w:color="auto"/>
      </w:divBdr>
      <w:divsChild>
        <w:div w:id="850223095">
          <w:blockQuote w:val="1"/>
          <w:marLeft w:val="720"/>
          <w:marRight w:val="720"/>
          <w:marTop w:val="100"/>
          <w:marBottom w:val="100"/>
          <w:divBdr>
            <w:top w:val="none" w:sz="0" w:space="0" w:color="auto"/>
            <w:left w:val="none" w:sz="0" w:space="0" w:color="auto"/>
            <w:bottom w:val="none" w:sz="0" w:space="0" w:color="auto"/>
            <w:right w:val="none" w:sz="0" w:space="0" w:color="auto"/>
          </w:divBdr>
        </w:div>
        <w:div w:id="85002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541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4884">
          <w:blockQuote w:val="1"/>
          <w:marLeft w:val="720"/>
          <w:marRight w:val="720"/>
          <w:marTop w:val="100"/>
          <w:marBottom w:val="100"/>
          <w:divBdr>
            <w:top w:val="none" w:sz="0" w:space="0" w:color="auto"/>
            <w:left w:val="none" w:sz="0" w:space="0" w:color="auto"/>
            <w:bottom w:val="none" w:sz="0" w:space="0" w:color="auto"/>
            <w:right w:val="none" w:sz="0" w:space="0" w:color="auto"/>
          </w:divBdr>
        </w:div>
        <w:div w:id="309096373">
          <w:blockQuote w:val="1"/>
          <w:marLeft w:val="720"/>
          <w:marRight w:val="720"/>
          <w:marTop w:val="100"/>
          <w:marBottom w:val="100"/>
          <w:divBdr>
            <w:top w:val="none" w:sz="0" w:space="0" w:color="auto"/>
            <w:left w:val="none" w:sz="0" w:space="0" w:color="auto"/>
            <w:bottom w:val="none" w:sz="0" w:space="0" w:color="auto"/>
            <w:right w:val="none" w:sz="0" w:space="0" w:color="auto"/>
          </w:divBdr>
        </w:div>
        <w:div w:id="645091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97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631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507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019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27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55668693">
          <w:blockQuote w:val="1"/>
          <w:marLeft w:val="720"/>
          <w:marRight w:val="720"/>
          <w:marTop w:val="100"/>
          <w:marBottom w:val="100"/>
          <w:divBdr>
            <w:top w:val="none" w:sz="0" w:space="0" w:color="auto"/>
            <w:left w:val="none" w:sz="0" w:space="0" w:color="auto"/>
            <w:bottom w:val="none" w:sz="0" w:space="0" w:color="auto"/>
            <w:right w:val="none" w:sz="0" w:space="0" w:color="auto"/>
          </w:divBdr>
        </w:div>
        <w:div w:id="334651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921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4764">
      <w:bodyDiv w:val="1"/>
      <w:marLeft w:val="0"/>
      <w:marRight w:val="0"/>
      <w:marTop w:val="0"/>
      <w:marBottom w:val="0"/>
      <w:divBdr>
        <w:top w:val="none" w:sz="0" w:space="0" w:color="auto"/>
        <w:left w:val="none" w:sz="0" w:space="0" w:color="auto"/>
        <w:bottom w:val="none" w:sz="0" w:space="0" w:color="auto"/>
        <w:right w:val="none" w:sz="0" w:space="0" w:color="auto"/>
      </w:divBdr>
    </w:div>
    <w:div w:id="151876963">
      <w:bodyDiv w:val="1"/>
      <w:marLeft w:val="0"/>
      <w:marRight w:val="0"/>
      <w:marTop w:val="0"/>
      <w:marBottom w:val="0"/>
      <w:divBdr>
        <w:top w:val="none" w:sz="0" w:space="0" w:color="auto"/>
        <w:left w:val="none" w:sz="0" w:space="0" w:color="auto"/>
        <w:bottom w:val="none" w:sz="0" w:space="0" w:color="auto"/>
        <w:right w:val="none" w:sz="0" w:space="0" w:color="auto"/>
      </w:divBdr>
    </w:div>
    <w:div w:id="153037919">
      <w:bodyDiv w:val="1"/>
      <w:marLeft w:val="0"/>
      <w:marRight w:val="0"/>
      <w:marTop w:val="0"/>
      <w:marBottom w:val="0"/>
      <w:divBdr>
        <w:top w:val="none" w:sz="0" w:space="0" w:color="auto"/>
        <w:left w:val="none" w:sz="0" w:space="0" w:color="auto"/>
        <w:bottom w:val="none" w:sz="0" w:space="0" w:color="auto"/>
        <w:right w:val="none" w:sz="0" w:space="0" w:color="auto"/>
      </w:divBdr>
    </w:div>
    <w:div w:id="159279832">
      <w:bodyDiv w:val="1"/>
      <w:marLeft w:val="0"/>
      <w:marRight w:val="0"/>
      <w:marTop w:val="0"/>
      <w:marBottom w:val="0"/>
      <w:divBdr>
        <w:top w:val="none" w:sz="0" w:space="0" w:color="auto"/>
        <w:left w:val="none" w:sz="0" w:space="0" w:color="auto"/>
        <w:bottom w:val="none" w:sz="0" w:space="0" w:color="auto"/>
        <w:right w:val="none" w:sz="0" w:space="0" w:color="auto"/>
      </w:divBdr>
      <w:divsChild>
        <w:div w:id="1276206220">
          <w:marLeft w:val="547"/>
          <w:marRight w:val="0"/>
          <w:marTop w:val="0"/>
          <w:marBottom w:val="0"/>
          <w:divBdr>
            <w:top w:val="none" w:sz="0" w:space="0" w:color="auto"/>
            <w:left w:val="none" w:sz="0" w:space="0" w:color="auto"/>
            <w:bottom w:val="none" w:sz="0" w:space="0" w:color="auto"/>
            <w:right w:val="none" w:sz="0" w:space="0" w:color="auto"/>
          </w:divBdr>
        </w:div>
        <w:div w:id="2139452708">
          <w:marLeft w:val="547"/>
          <w:marRight w:val="0"/>
          <w:marTop w:val="0"/>
          <w:marBottom w:val="0"/>
          <w:divBdr>
            <w:top w:val="none" w:sz="0" w:space="0" w:color="auto"/>
            <w:left w:val="none" w:sz="0" w:space="0" w:color="auto"/>
            <w:bottom w:val="none" w:sz="0" w:space="0" w:color="auto"/>
            <w:right w:val="none" w:sz="0" w:space="0" w:color="auto"/>
          </w:divBdr>
        </w:div>
      </w:divsChild>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86872446">
      <w:bodyDiv w:val="1"/>
      <w:marLeft w:val="0"/>
      <w:marRight w:val="0"/>
      <w:marTop w:val="0"/>
      <w:marBottom w:val="0"/>
      <w:divBdr>
        <w:top w:val="none" w:sz="0" w:space="0" w:color="auto"/>
        <w:left w:val="none" w:sz="0" w:space="0" w:color="auto"/>
        <w:bottom w:val="none" w:sz="0" w:space="0" w:color="auto"/>
        <w:right w:val="none" w:sz="0" w:space="0" w:color="auto"/>
      </w:divBdr>
    </w:div>
    <w:div w:id="188103633">
      <w:bodyDiv w:val="1"/>
      <w:marLeft w:val="0"/>
      <w:marRight w:val="0"/>
      <w:marTop w:val="0"/>
      <w:marBottom w:val="0"/>
      <w:divBdr>
        <w:top w:val="none" w:sz="0" w:space="0" w:color="auto"/>
        <w:left w:val="none" w:sz="0" w:space="0" w:color="auto"/>
        <w:bottom w:val="none" w:sz="0" w:space="0" w:color="auto"/>
        <w:right w:val="none" w:sz="0" w:space="0" w:color="auto"/>
      </w:divBdr>
    </w:div>
    <w:div w:id="188882717">
      <w:bodyDiv w:val="1"/>
      <w:marLeft w:val="0"/>
      <w:marRight w:val="0"/>
      <w:marTop w:val="0"/>
      <w:marBottom w:val="0"/>
      <w:divBdr>
        <w:top w:val="none" w:sz="0" w:space="0" w:color="auto"/>
        <w:left w:val="none" w:sz="0" w:space="0" w:color="auto"/>
        <w:bottom w:val="none" w:sz="0" w:space="0" w:color="auto"/>
        <w:right w:val="none" w:sz="0" w:space="0" w:color="auto"/>
      </w:divBdr>
    </w:div>
    <w:div w:id="191725557">
      <w:bodyDiv w:val="1"/>
      <w:marLeft w:val="0"/>
      <w:marRight w:val="0"/>
      <w:marTop w:val="0"/>
      <w:marBottom w:val="0"/>
      <w:divBdr>
        <w:top w:val="none" w:sz="0" w:space="0" w:color="auto"/>
        <w:left w:val="none" w:sz="0" w:space="0" w:color="auto"/>
        <w:bottom w:val="none" w:sz="0" w:space="0" w:color="auto"/>
        <w:right w:val="none" w:sz="0" w:space="0" w:color="auto"/>
      </w:divBdr>
    </w:div>
    <w:div w:id="195236463">
      <w:bodyDiv w:val="1"/>
      <w:marLeft w:val="0"/>
      <w:marRight w:val="0"/>
      <w:marTop w:val="0"/>
      <w:marBottom w:val="0"/>
      <w:divBdr>
        <w:top w:val="none" w:sz="0" w:space="0" w:color="auto"/>
        <w:left w:val="none" w:sz="0" w:space="0" w:color="auto"/>
        <w:bottom w:val="none" w:sz="0" w:space="0" w:color="auto"/>
        <w:right w:val="none" w:sz="0" w:space="0" w:color="auto"/>
      </w:divBdr>
    </w:div>
    <w:div w:id="212274641">
      <w:bodyDiv w:val="1"/>
      <w:marLeft w:val="0"/>
      <w:marRight w:val="0"/>
      <w:marTop w:val="0"/>
      <w:marBottom w:val="0"/>
      <w:divBdr>
        <w:top w:val="none" w:sz="0" w:space="0" w:color="auto"/>
        <w:left w:val="none" w:sz="0" w:space="0" w:color="auto"/>
        <w:bottom w:val="none" w:sz="0" w:space="0" w:color="auto"/>
        <w:right w:val="none" w:sz="0" w:space="0" w:color="auto"/>
      </w:divBdr>
    </w:div>
    <w:div w:id="235090530">
      <w:bodyDiv w:val="1"/>
      <w:marLeft w:val="0"/>
      <w:marRight w:val="0"/>
      <w:marTop w:val="0"/>
      <w:marBottom w:val="0"/>
      <w:divBdr>
        <w:top w:val="none" w:sz="0" w:space="0" w:color="auto"/>
        <w:left w:val="none" w:sz="0" w:space="0" w:color="auto"/>
        <w:bottom w:val="none" w:sz="0" w:space="0" w:color="auto"/>
        <w:right w:val="none" w:sz="0" w:space="0" w:color="auto"/>
      </w:divBdr>
    </w:div>
    <w:div w:id="253900604">
      <w:bodyDiv w:val="1"/>
      <w:marLeft w:val="0"/>
      <w:marRight w:val="0"/>
      <w:marTop w:val="0"/>
      <w:marBottom w:val="0"/>
      <w:divBdr>
        <w:top w:val="none" w:sz="0" w:space="0" w:color="auto"/>
        <w:left w:val="none" w:sz="0" w:space="0" w:color="auto"/>
        <w:bottom w:val="none" w:sz="0" w:space="0" w:color="auto"/>
        <w:right w:val="none" w:sz="0" w:space="0" w:color="auto"/>
      </w:divBdr>
    </w:div>
    <w:div w:id="257644622">
      <w:bodyDiv w:val="1"/>
      <w:marLeft w:val="0"/>
      <w:marRight w:val="0"/>
      <w:marTop w:val="0"/>
      <w:marBottom w:val="0"/>
      <w:divBdr>
        <w:top w:val="none" w:sz="0" w:space="0" w:color="auto"/>
        <w:left w:val="none" w:sz="0" w:space="0" w:color="auto"/>
        <w:bottom w:val="none" w:sz="0" w:space="0" w:color="auto"/>
        <w:right w:val="none" w:sz="0" w:space="0" w:color="auto"/>
      </w:divBdr>
    </w:div>
    <w:div w:id="277953407">
      <w:bodyDiv w:val="1"/>
      <w:marLeft w:val="0"/>
      <w:marRight w:val="0"/>
      <w:marTop w:val="0"/>
      <w:marBottom w:val="0"/>
      <w:divBdr>
        <w:top w:val="none" w:sz="0" w:space="0" w:color="auto"/>
        <w:left w:val="none" w:sz="0" w:space="0" w:color="auto"/>
        <w:bottom w:val="none" w:sz="0" w:space="0" w:color="auto"/>
        <w:right w:val="none" w:sz="0" w:space="0" w:color="auto"/>
      </w:divBdr>
    </w:div>
    <w:div w:id="278727722">
      <w:bodyDiv w:val="1"/>
      <w:marLeft w:val="0"/>
      <w:marRight w:val="0"/>
      <w:marTop w:val="0"/>
      <w:marBottom w:val="0"/>
      <w:divBdr>
        <w:top w:val="none" w:sz="0" w:space="0" w:color="auto"/>
        <w:left w:val="none" w:sz="0" w:space="0" w:color="auto"/>
        <w:bottom w:val="none" w:sz="0" w:space="0" w:color="auto"/>
        <w:right w:val="none" w:sz="0" w:space="0" w:color="auto"/>
      </w:divBdr>
    </w:div>
    <w:div w:id="278730963">
      <w:bodyDiv w:val="1"/>
      <w:marLeft w:val="0"/>
      <w:marRight w:val="0"/>
      <w:marTop w:val="0"/>
      <w:marBottom w:val="0"/>
      <w:divBdr>
        <w:top w:val="none" w:sz="0" w:space="0" w:color="auto"/>
        <w:left w:val="none" w:sz="0" w:space="0" w:color="auto"/>
        <w:bottom w:val="none" w:sz="0" w:space="0" w:color="auto"/>
        <w:right w:val="none" w:sz="0" w:space="0" w:color="auto"/>
      </w:divBdr>
    </w:div>
    <w:div w:id="279995213">
      <w:bodyDiv w:val="1"/>
      <w:marLeft w:val="0"/>
      <w:marRight w:val="0"/>
      <w:marTop w:val="0"/>
      <w:marBottom w:val="0"/>
      <w:divBdr>
        <w:top w:val="none" w:sz="0" w:space="0" w:color="auto"/>
        <w:left w:val="none" w:sz="0" w:space="0" w:color="auto"/>
        <w:bottom w:val="none" w:sz="0" w:space="0" w:color="auto"/>
        <w:right w:val="none" w:sz="0" w:space="0" w:color="auto"/>
      </w:divBdr>
    </w:div>
    <w:div w:id="320087212">
      <w:bodyDiv w:val="1"/>
      <w:marLeft w:val="0"/>
      <w:marRight w:val="0"/>
      <w:marTop w:val="0"/>
      <w:marBottom w:val="0"/>
      <w:divBdr>
        <w:top w:val="none" w:sz="0" w:space="0" w:color="auto"/>
        <w:left w:val="none" w:sz="0" w:space="0" w:color="auto"/>
        <w:bottom w:val="none" w:sz="0" w:space="0" w:color="auto"/>
        <w:right w:val="none" w:sz="0" w:space="0" w:color="auto"/>
      </w:divBdr>
    </w:div>
    <w:div w:id="325210205">
      <w:bodyDiv w:val="1"/>
      <w:marLeft w:val="0"/>
      <w:marRight w:val="0"/>
      <w:marTop w:val="0"/>
      <w:marBottom w:val="0"/>
      <w:divBdr>
        <w:top w:val="none" w:sz="0" w:space="0" w:color="auto"/>
        <w:left w:val="none" w:sz="0" w:space="0" w:color="auto"/>
        <w:bottom w:val="none" w:sz="0" w:space="0" w:color="auto"/>
        <w:right w:val="none" w:sz="0" w:space="0" w:color="auto"/>
      </w:divBdr>
    </w:div>
    <w:div w:id="328024214">
      <w:bodyDiv w:val="1"/>
      <w:marLeft w:val="0"/>
      <w:marRight w:val="0"/>
      <w:marTop w:val="0"/>
      <w:marBottom w:val="0"/>
      <w:divBdr>
        <w:top w:val="none" w:sz="0" w:space="0" w:color="auto"/>
        <w:left w:val="none" w:sz="0" w:space="0" w:color="auto"/>
        <w:bottom w:val="none" w:sz="0" w:space="0" w:color="auto"/>
        <w:right w:val="none" w:sz="0" w:space="0" w:color="auto"/>
      </w:divBdr>
    </w:div>
    <w:div w:id="336419494">
      <w:bodyDiv w:val="1"/>
      <w:marLeft w:val="0"/>
      <w:marRight w:val="0"/>
      <w:marTop w:val="0"/>
      <w:marBottom w:val="0"/>
      <w:divBdr>
        <w:top w:val="none" w:sz="0" w:space="0" w:color="auto"/>
        <w:left w:val="none" w:sz="0" w:space="0" w:color="auto"/>
        <w:bottom w:val="none" w:sz="0" w:space="0" w:color="auto"/>
        <w:right w:val="none" w:sz="0" w:space="0" w:color="auto"/>
      </w:divBdr>
    </w:div>
    <w:div w:id="364716003">
      <w:bodyDiv w:val="1"/>
      <w:marLeft w:val="0"/>
      <w:marRight w:val="0"/>
      <w:marTop w:val="0"/>
      <w:marBottom w:val="0"/>
      <w:divBdr>
        <w:top w:val="none" w:sz="0" w:space="0" w:color="auto"/>
        <w:left w:val="none" w:sz="0" w:space="0" w:color="auto"/>
        <w:bottom w:val="none" w:sz="0" w:space="0" w:color="auto"/>
        <w:right w:val="none" w:sz="0" w:space="0" w:color="auto"/>
      </w:divBdr>
    </w:div>
    <w:div w:id="375468227">
      <w:bodyDiv w:val="1"/>
      <w:marLeft w:val="0"/>
      <w:marRight w:val="0"/>
      <w:marTop w:val="0"/>
      <w:marBottom w:val="0"/>
      <w:divBdr>
        <w:top w:val="none" w:sz="0" w:space="0" w:color="auto"/>
        <w:left w:val="none" w:sz="0" w:space="0" w:color="auto"/>
        <w:bottom w:val="none" w:sz="0" w:space="0" w:color="auto"/>
        <w:right w:val="none" w:sz="0" w:space="0" w:color="auto"/>
      </w:divBdr>
    </w:div>
    <w:div w:id="378674273">
      <w:bodyDiv w:val="1"/>
      <w:marLeft w:val="0"/>
      <w:marRight w:val="0"/>
      <w:marTop w:val="0"/>
      <w:marBottom w:val="0"/>
      <w:divBdr>
        <w:top w:val="none" w:sz="0" w:space="0" w:color="auto"/>
        <w:left w:val="none" w:sz="0" w:space="0" w:color="auto"/>
        <w:bottom w:val="none" w:sz="0" w:space="0" w:color="auto"/>
        <w:right w:val="none" w:sz="0" w:space="0" w:color="auto"/>
      </w:divBdr>
    </w:div>
    <w:div w:id="385489852">
      <w:bodyDiv w:val="1"/>
      <w:marLeft w:val="0"/>
      <w:marRight w:val="0"/>
      <w:marTop w:val="0"/>
      <w:marBottom w:val="0"/>
      <w:divBdr>
        <w:top w:val="none" w:sz="0" w:space="0" w:color="auto"/>
        <w:left w:val="none" w:sz="0" w:space="0" w:color="auto"/>
        <w:bottom w:val="none" w:sz="0" w:space="0" w:color="auto"/>
        <w:right w:val="none" w:sz="0" w:space="0" w:color="auto"/>
      </w:divBdr>
    </w:div>
    <w:div w:id="400177437">
      <w:bodyDiv w:val="1"/>
      <w:marLeft w:val="0"/>
      <w:marRight w:val="0"/>
      <w:marTop w:val="0"/>
      <w:marBottom w:val="0"/>
      <w:divBdr>
        <w:top w:val="none" w:sz="0" w:space="0" w:color="auto"/>
        <w:left w:val="none" w:sz="0" w:space="0" w:color="auto"/>
        <w:bottom w:val="none" w:sz="0" w:space="0" w:color="auto"/>
        <w:right w:val="none" w:sz="0" w:space="0" w:color="auto"/>
      </w:divBdr>
    </w:div>
    <w:div w:id="404305835">
      <w:bodyDiv w:val="1"/>
      <w:marLeft w:val="0"/>
      <w:marRight w:val="0"/>
      <w:marTop w:val="0"/>
      <w:marBottom w:val="0"/>
      <w:divBdr>
        <w:top w:val="none" w:sz="0" w:space="0" w:color="auto"/>
        <w:left w:val="none" w:sz="0" w:space="0" w:color="auto"/>
        <w:bottom w:val="none" w:sz="0" w:space="0" w:color="auto"/>
        <w:right w:val="none" w:sz="0" w:space="0" w:color="auto"/>
      </w:divBdr>
    </w:div>
    <w:div w:id="453446002">
      <w:bodyDiv w:val="1"/>
      <w:marLeft w:val="0"/>
      <w:marRight w:val="0"/>
      <w:marTop w:val="0"/>
      <w:marBottom w:val="0"/>
      <w:divBdr>
        <w:top w:val="none" w:sz="0" w:space="0" w:color="auto"/>
        <w:left w:val="none" w:sz="0" w:space="0" w:color="auto"/>
        <w:bottom w:val="none" w:sz="0" w:space="0" w:color="auto"/>
        <w:right w:val="none" w:sz="0" w:space="0" w:color="auto"/>
      </w:divBdr>
    </w:div>
    <w:div w:id="461730847">
      <w:bodyDiv w:val="1"/>
      <w:marLeft w:val="0"/>
      <w:marRight w:val="0"/>
      <w:marTop w:val="0"/>
      <w:marBottom w:val="0"/>
      <w:divBdr>
        <w:top w:val="none" w:sz="0" w:space="0" w:color="auto"/>
        <w:left w:val="none" w:sz="0" w:space="0" w:color="auto"/>
        <w:bottom w:val="none" w:sz="0" w:space="0" w:color="auto"/>
        <w:right w:val="none" w:sz="0" w:space="0" w:color="auto"/>
      </w:divBdr>
    </w:div>
    <w:div w:id="464354525">
      <w:bodyDiv w:val="1"/>
      <w:marLeft w:val="0"/>
      <w:marRight w:val="0"/>
      <w:marTop w:val="0"/>
      <w:marBottom w:val="0"/>
      <w:divBdr>
        <w:top w:val="none" w:sz="0" w:space="0" w:color="auto"/>
        <w:left w:val="none" w:sz="0" w:space="0" w:color="auto"/>
        <w:bottom w:val="none" w:sz="0" w:space="0" w:color="auto"/>
        <w:right w:val="none" w:sz="0" w:space="0" w:color="auto"/>
      </w:divBdr>
    </w:div>
    <w:div w:id="470483192">
      <w:bodyDiv w:val="1"/>
      <w:marLeft w:val="0"/>
      <w:marRight w:val="0"/>
      <w:marTop w:val="0"/>
      <w:marBottom w:val="0"/>
      <w:divBdr>
        <w:top w:val="none" w:sz="0" w:space="0" w:color="auto"/>
        <w:left w:val="none" w:sz="0" w:space="0" w:color="auto"/>
        <w:bottom w:val="none" w:sz="0" w:space="0" w:color="auto"/>
        <w:right w:val="none" w:sz="0" w:space="0" w:color="auto"/>
      </w:divBdr>
    </w:div>
    <w:div w:id="513882253">
      <w:bodyDiv w:val="1"/>
      <w:marLeft w:val="0"/>
      <w:marRight w:val="0"/>
      <w:marTop w:val="0"/>
      <w:marBottom w:val="0"/>
      <w:divBdr>
        <w:top w:val="none" w:sz="0" w:space="0" w:color="auto"/>
        <w:left w:val="none" w:sz="0" w:space="0" w:color="auto"/>
        <w:bottom w:val="none" w:sz="0" w:space="0" w:color="auto"/>
        <w:right w:val="none" w:sz="0" w:space="0" w:color="auto"/>
      </w:divBdr>
    </w:div>
    <w:div w:id="533153618">
      <w:bodyDiv w:val="1"/>
      <w:marLeft w:val="0"/>
      <w:marRight w:val="0"/>
      <w:marTop w:val="0"/>
      <w:marBottom w:val="0"/>
      <w:divBdr>
        <w:top w:val="none" w:sz="0" w:space="0" w:color="auto"/>
        <w:left w:val="none" w:sz="0" w:space="0" w:color="auto"/>
        <w:bottom w:val="none" w:sz="0" w:space="0" w:color="auto"/>
        <w:right w:val="none" w:sz="0" w:space="0" w:color="auto"/>
      </w:divBdr>
    </w:div>
    <w:div w:id="540288715">
      <w:bodyDiv w:val="1"/>
      <w:marLeft w:val="0"/>
      <w:marRight w:val="0"/>
      <w:marTop w:val="0"/>
      <w:marBottom w:val="0"/>
      <w:divBdr>
        <w:top w:val="none" w:sz="0" w:space="0" w:color="auto"/>
        <w:left w:val="none" w:sz="0" w:space="0" w:color="auto"/>
        <w:bottom w:val="none" w:sz="0" w:space="0" w:color="auto"/>
        <w:right w:val="none" w:sz="0" w:space="0" w:color="auto"/>
      </w:divBdr>
    </w:div>
    <w:div w:id="545220023">
      <w:bodyDiv w:val="1"/>
      <w:marLeft w:val="0"/>
      <w:marRight w:val="0"/>
      <w:marTop w:val="0"/>
      <w:marBottom w:val="0"/>
      <w:divBdr>
        <w:top w:val="none" w:sz="0" w:space="0" w:color="auto"/>
        <w:left w:val="none" w:sz="0" w:space="0" w:color="auto"/>
        <w:bottom w:val="none" w:sz="0" w:space="0" w:color="auto"/>
        <w:right w:val="none" w:sz="0" w:space="0" w:color="auto"/>
      </w:divBdr>
    </w:div>
    <w:div w:id="549847659">
      <w:bodyDiv w:val="1"/>
      <w:marLeft w:val="0"/>
      <w:marRight w:val="0"/>
      <w:marTop w:val="0"/>
      <w:marBottom w:val="0"/>
      <w:divBdr>
        <w:top w:val="none" w:sz="0" w:space="0" w:color="auto"/>
        <w:left w:val="none" w:sz="0" w:space="0" w:color="auto"/>
        <w:bottom w:val="none" w:sz="0" w:space="0" w:color="auto"/>
        <w:right w:val="none" w:sz="0" w:space="0" w:color="auto"/>
      </w:divBdr>
    </w:div>
    <w:div w:id="550965576">
      <w:bodyDiv w:val="1"/>
      <w:marLeft w:val="0"/>
      <w:marRight w:val="0"/>
      <w:marTop w:val="0"/>
      <w:marBottom w:val="0"/>
      <w:divBdr>
        <w:top w:val="none" w:sz="0" w:space="0" w:color="auto"/>
        <w:left w:val="none" w:sz="0" w:space="0" w:color="auto"/>
        <w:bottom w:val="none" w:sz="0" w:space="0" w:color="auto"/>
        <w:right w:val="none" w:sz="0" w:space="0" w:color="auto"/>
      </w:divBdr>
    </w:div>
    <w:div w:id="555287819">
      <w:bodyDiv w:val="1"/>
      <w:marLeft w:val="0"/>
      <w:marRight w:val="0"/>
      <w:marTop w:val="0"/>
      <w:marBottom w:val="0"/>
      <w:divBdr>
        <w:top w:val="none" w:sz="0" w:space="0" w:color="auto"/>
        <w:left w:val="none" w:sz="0" w:space="0" w:color="auto"/>
        <w:bottom w:val="none" w:sz="0" w:space="0" w:color="auto"/>
        <w:right w:val="none" w:sz="0" w:space="0" w:color="auto"/>
      </w:divBdr>
    </w:div>
    <w:div w:id="557203202">
      <w:bodyDiv w:val="1"/>
      <w:marLeft w:val="0"/>
      <w:marRight w:val="0"/>
      <w:marTop w:val="0"/>
      <w:marBottom w:val="0"/>
      <w:divBdr>
        <w:top w:val="none" w:sz="0" w:space="0" w:color="auto"/>
        <w:left w:val="none" w:sz="0" w:space="0" w:color="auto"/>
        <w:bottom w:val="none" w:sz="0" w:space="0" w:color="auto"/>
        <w:right w:val="none" w:sz="0" w:space="0" w:color="auto"/>
      </w:divBdr>
    </w:div>
    <w:div w:id="558632680">
      <w:bodyDiv w:val="1"/>
      <w:marLeft w:val="0"/>
      <w:marRight w:val="0"/>
      <w:marTop w:val="0"/>
      <w:marBottom w:val="0"/>
      <w:divBdr>
        <w:top w:val="none" w:sz="0" w:space="0" w:color="auto"/>
        <w:left w:val="none" w:sz="0" w:space="0" w:color="auto"/>
        <w:bottom w:val="none" w:sz="0" w:space="0" w:color="auto"/>
        <w:right w:val="none" w:sz="0" w:space="0" w:color="auto"/>
      </w:divBdr>
    </w:div>
    <w:div w:id="559947381">
      <w:bodyDiv w:val="1"/>
      <w:marLeft w:val="0"/>
      <w:marRight w:val="0"/>
      <w:marTop w:val="0"/>
      <w:marBottom w:val="0"/>
      <w:divBdr>
        <w:top w:val="none" w:sz="0" w:space="0" w:color="auto"/>
        <w:left w:val="none" w:sz="0" w:space="0" w:color="auto"/>
        <w:bottom w:val="none" w:sz="0" w:space="0" w:color="auto"/>
        <w:right w:val="none" w:sz="0" w:space="0" w:color="auto"/>
      </w:divBdr>
    </w:div>
    <w:div w:id="574127247">
      <w:bodyDiv w:val="1"/>
      <w:marLeft w:val="0"/>
      <w:marRight w:val="0"/>
      <w:marTop w:val="0"/>
      <w:marBottom w:val="0"/>
      <w:divBdr>
        <w:top w:val="none" w:sz="0" w:space="0" w:color="auto"/>
        <w:left w:val="none" w:sz="0" w:space="0" w:color="auto"/>
        <w:bottom w:val="none" w:sz="0" w:space="0" w:color="auto"/>
        <w:right w:val="none" w:sz="0" w:space="0" w:color="auto"/>
      </w:divBdr>
    </w:div>
    <w:div w:id="585920227">
      <w:bodyDiv w:val="1"/>
      <w:marLeft w:val="0"/>
      <w:marRight w:val="0"/>
      <w:marTop w:val="0"/>
      <w:marBottom w:val="0"/>
      <w:divBdr>
        <w:top w:val="none" w:sz="0" w:space="0" w:color="auto"/>
        <w:left w:val="none" w:sz="0" w:space="0" w:color="auto"/>
        <w:bottom w:val="none" w:sz="0" w:space="0" w:color="auto"/>
        <w:right w:val="none" w:sz="0" w:space="0" w:color="auto"/>
      </w:divBdr>
    </w:div>
    <w:div w:id="613440656">
      <w:bodyDiv w:val="1"/>
      <w:marLeft w:val="0"/>
      <w:marRight w:val="0"/>
      <w:marTop w:val="0"/>
      <w:marBottom w:val="0"/>
      <w:divBdr>
        <w:top w:val="none" w:sz="0" w:space="0" w:color="auto"/>
        <w:left w:val="none" w:sz="0" w:space="0" w:color="auto"/>
        <w:bottom w:val="none" w:sz="0" w:space="0" w:color="auto"/>
        <w:right w:val="none" w:sz="0" w:space="0" w:color="auto"/>
      </w:divBdr>
    </w:div>
    <w:div w:id="615480527">
      <w:bodyDiv w:val="1"/>
      <w:marLeft w:val="0"/>
      <w:marRight w:val="0"/>
      <w:marTop w:val="0"/>
      <w:marBottom w:val="0"/>
      <w:divBdr>
        <w:top w:val="none" w:sz="0" w:space="0" w:color="auto"/>
        <w:left w:val="none" w:sz="0" w:space="0" w:color="auto"/>
        <w:bottom w:val="none" w:sz="0" w:space="0" w:color="auto"/>
        <w:right w:val="none" w:sz="0" w:space="0" w:color="auto"/>
      </w:divBdr>
    </w:div>
    <w:div w:id="6181005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41934498">
      <w:bodyDiv w:val="1"/>
      <w:marLeft w:val="0"/>
      <w:marRight w:val="0"/>
      <w:marTop w:val="0"/>
      <w:marBottom w:val="0"/>
      <w:divBdr>
        <w:top w:val="none" w:sz="0" w:space="0" w:color="auto"/>
        <w:left w:val="none" w:sz="0" w:space="0" w:color="auto"/>
        <w:bottom w:val="none" w:sz="0" w:space="0" w:color="auto"/>
        <w:right w:val="none" w:sz="0" w:space="0" w:color="auto"/>
      </w:divBdr>
    </w:div>
    <w:div w:id="651183362">
      <w:bodyDiv w:val="1"/>
      <w:marLeft w:val="0"/>
      <w:marRight w:val="0"/>
      <w:marTop w:val="0"/>
      <w:marBottom w:val="0"/>
      <w:divBdr>
        <w:top w:val="none" w:sz="0" w:space="0" w:color="auto"/>
        <w:left w:val="none" w:sz="0" w:space="0" w:color="auto"/>
        <w:bottom w:val="none" w:sz="0" w:space="0" w:color="auto"/>
        <w:right w:val="none" w:sz="0" w:space="0" w:color="auto"/>
      </w:divBdr>
    </w:div>
    <w:div w:id="660280275">
      <w:bodyDiv w:val="1"/>
      <w:marLeft w:val="0"/>
      <w:marRight w:val="0"/>
      <w:marTop w:val="0"/>
      <w:marBottom w:val="0"/>
      <w:divBdr>
        <w:top w:val="none" w:sz="0" w:space="0" w:color="auto"/>
        <w:left w:val="none" w:sz="0" w:space="0" w:color="auto"/>
        <w:bottom w:val="none" w:sz="0" w:space="0" w:color="auto"/>
        <w:right w:val="none" w:sz="0" w:space="0" w:color="auto"/>
      </w:divBdr>
    </w:div>
    <w:div w:id="671642428">
      <w:bodyDiv w:val="1"/>
      <w:marLeft w:val="0"/>
      <w:marRight w:val="0"/>
      <w:marTop w:val="0"/>
      <w:marBottom w:val="0"/>
      <w:divBdr>
        <w:top w:val="none" w:sz="0" w:space="0" w:color="auto"/>
        <w:left w:val="none" w:sz="0" w:space="0" w:color="auto"/>
        <w:bottom w:val="none" w:sz="0" w:space="0" w:color="auto"/>
        <w:right w:val="none" w:sz="0" w:space="0" w:color="auto"/>
      </w:divBdr>
    </w:div>
    <w:div w:id="672299524">
      <w:bodyDiv w:val="1"/>
      <w:marLeft w:val="0"/>
      <w:marRight w:val="0"/>
      <w:marTop w:val="0"/>
      <w:marBottom w:val="0"/>
      <w:divBdr>
        <w:top w:val="none" w:sz="0" w:space="0" w:color="auto"/>
        <w:left w:val="none" w:sz="0" w:space="0" w:color="auto"/>
        <w:bottom w:val="none" w:sz="0" w:space="0" w:color="auto"/>
        <w:right w:val="none" w:sz="0" w:space="0" w:color="auto"/>
      </w:divBdr>
    </w:div>
    <w:div w:id="674651269">
      <w:bodyDiv w:val="1"/>
      <w:marLeft w:val="0"/>
      <w:marRight w:val="0"/>
      <w:marTop w:val="0"/>
      <w:marBottom w:val="0"/>
      <w:divBdr>
        <w:top w:val="none" w:sz="0" w:space="0" w:color="auto"/>
        <w:left w:val="none" w:sz="0" w:space="0" w:color="auto"/>
        <w:bottom w:val="none" w:sz="0" w:space="0" w:color="auto"/>
        <w:right w:val="none" w:sz="0" w:space="0" w:color="auto"/>
      </w:divBdr>
    </w:div>
    <w:div w:id="688066452">
      <w:bodyDiv w:val="1"/>
      <w:marLeft w:val="0"/>
      <w:marRight w:val="0"/>
      <w:marTop w:val="0"/>
      <w:marBottom w:val="0"/>
      <w:divBdr>
        <w:top w:val="none" w:sz="0" w:space="0" w:color="auto"/>
        <w:left w:val="none" w:sz="0" w:space="0" w:color="auto"/>
        <w:bottom w:val="none" w:sz="0" w:space="0" w:color="auto"/>
        <w:right w:val="none" w:sz="0" w:space="0" w:color="auto"/>
      </w:divBdr>
    </w:div>
    <w:div w:id="692999989">
      <w:bodyDiv w:val="1"/>
      <w:marLeft w:val="0"/>
      <w:marRight w:val="0"/>
      <w:marTop w:val="0"/>
      <w:marBottom w:val="0"/>
      <w:divBdr>
        <w:top w:val="none" w:sz="0" w:space="0" w:color="auto"/>
        <w:left w:val="none" w:sz="0" w:space="0" w:color="auto"/>
        <w:bottom w:val="none" w:sz="0" w:space="0" w:color="auto"/>
        <w:right w:val="none" w:sz="0" w:space="0" w:color="auto"/>
      </w:divBdr>
    </w:div>
    <w:div w:id="696010400">
      <w:bodyDiv w:val="1"/>
      <w:marLeft w:val="0"/>
      <w:marRight w:val="0"/>
      <w:marTop w:val="0"/>
      <w:marBottom w:val="0"/>
      <w:divBdr>
        <w:top w:val="none" w:sz="0" w:space="0" w:color="auto"/>
        <w:left w:val="none" w:sz="0" w:space="0" w:color="auto"/>
        <w:bottom w:val="none" w:sz="0" w:space="0" w:color="auto"/>
        <w:right w:val="none" w:sz="0" w:space="0" w:color="auto"/>
      </w:divBdr>
    </w:div>
    <w:div w:id="702368799">
      <w:bodyDiv w:val="1"/>
      <w:marLeft w:val="0"/>
      <w:marRight w:val="0"/>
      <w:marTop w:val="0"/>
      <w:marBottom w:val="0"/>
      <w:divBdr>
        <w:top w:val="none" w:sz="0" w:space="0" w:color="auto"/>
        <w:left w:val="none" w:sz="0" w:space="0" w:color="auto"/>
        <w:bottom w:val="none" w:sz="0" w:space="0" w:color="auto"/>
        <w:right w:val="none" w:sz="0" w:space="0" w:color="auto"/>
      </w:divBdr>
    </w:div>
    <w:div w:id="707729590">
      <w:bodyDiv w:val="1"/>
      <w:marLeft w:val="0"/>
      <w:marRight w:val="0"/>
      <w:marTop w:val="0"/>
      <w:marBottom w:val="0"/>
      <w:divBdr>
        <w:top w:val="none" w:sz="0" w:space="0" w:color="auto"/>
        <w:left w:val="none" w:sz="0" w:space="0" w:color="auto"/>
        <w:bottom w:val="none" w:sz="0" w:space="0" w:color="auto"/>
        <w:right w:val="none" w:sz="0" w:space="0" w:color="auto"/>
      </w:divBdr>
    </w:div>
    <w:div w:id="708916479">
      <w:bodyDiv w:val="1"/>
      <w:marLeft w:val="0"/>
      <w:marRight w:val="0"/>
      <w:marTop w:val="0"/>
      <w:marBottom w:val="0"/>
      <w:divBdr>
        <w:top w:val="none" w:sz="0" w:space="0" w:color="auto"/>
        <w:left w:val="none" w:sz="0" w:space="0" w:color="auto"/>
        <w:bottom w:val="none" w:sz="0" w:space="0" w:color="auto"/>
        <w:right w:val="none" w:sz="0" w:space="0" w:color="auto"/>
      </w:divBdr>
    </w:div>
    <w:div w:id="733313091">
      <w:bodyDiv w:val="1"/>
      <w:marLeft w:val="0"/>
      <w:marRight w:val="0"/>
      <w:marTop w:val="0"/>
      <w:marBottom w:val="0"/>
      <w:divBdr>
        <w:top w:val="none" w:sz="0" w:space="0" w:color="auto"/>
        <w:left w:val="none" w:sz="0" w:space="0" w:color="auto"/>
        <w:bottom w:val="none" w:sz="0" w:space="0" w:color="auto"/>
        <w:right w:val="none" w:sz="0" w:space="0" w:color="auto"/>
      </w:divBdr>
    </w:div>
    <w:div w:id="736435764">
      <w:bodyDiv w:val="1"/>
      <w:marLeft w:val="0"/>
      <w:marRight w:val="0"/>
      <w:marTop w:val="0"/>
      <w:marBottom w:val="0"/>
      <w:divBdr>
        <w:top w:val="none" w:sz="0" w:space="0" w:color="auto"/>
        <w:left w:val="none" w:sz="0" w:space="0" w:color="auto"/>
        <w:bottom w:val="none" w:sz="0" w:space="0" w:color="auto"/>
        <w:right w:val="none" w:sz="0" w:space="0" w:color="auto"/>
      </w:divBdr>
    </w:div>
    <w:div w:id="736784737">
      <w:bodyDiv w:val="1"/>
      <w:marLeft w:val="0"/>
      <w:marRight w:val="0"/>
      <w:marTop w:val="0"/>
      <w:marBottom w:val="0"/>
      <w:divBdr>
        <w:top w:val="none" w:sz="0" w:space="0" w:color="auto"/>
        <w:left w:val="none" w:sz="0" w:space="0" w:color="auto"/>
        <w:bottom w:val="none" w:sz="0" w:space="0" w:color="auto"/>
        <w:right w:val="none" w:sz="0" w:space="0" w:color="auto"/>
      </w:divBdr>
    </w:div>
    <w:div w:id="736829187">
      <w:bodyDiv w:val="1"/>
      <w:marLeft w:val="0"/>
      <w:marRight w:val="0"/>
      <w:marTop w:val="0"/>
      <w:marBottom w:val="0"/>
      <w:divBdr>
        <w:top w:val="none" w:sz="0" w:space="0" w:color="auto"/>
        <w:left w:val="none" w:sz="0" w:space="0" w:color="auto"/>
        <w:bottom w:val="none" w:sz="0" w:space="0" w:color="auto"/>
        <w:right w:val="none" w:sz="0" w:space="0" w:color="auto"/>
      </w:divBdr>
    </w:div>
    <w:div w:id="743450930">
      <w:bodyDiv w:val="1"/>
      <w:marLeft w:val="0"/>
      <w:marRight w:val="0"/>
      <w:marTop w:val="0"/>
      <w:marBottom w:val="0"/>
      <w:divBdr>
        <w:top w:val="none" w:sz="0" w:space="0" w:color="auto"/>
        <w:left w:val="none" w:sz="0" w:space="0" w:color="auto"/>
        <w:bottom w:val="none" w:sz="0" w:space="0" w:color="auto"/>
        <w:right w:val="none" w:sz="0" w:space="0" w:color="auto"/>
      </w:divBdr>
    </w:div>
    <w:div w:id="760687087">
      <w:bodyDiv w:val="1"/>
      <w:marLeft w:val="0"/>
      <w:marRight w:val="0"/>
      <w:marTop w:val="0"/>
      <w:marBottom w:val="0"/>
      <w:divBdr>
        <w:top w:val="none" w:sz="0" w:space="0" w:color="auto"/>
        <w:left w:val="none" w:sz="0" w:space="0" w:color="auto"/>
        <w:bottom w:val="none" w:sz="0" w:space="0" w:color="auto"/>
        <w:right w:val="none" w:sz="0" w:space="0" w:color="auto"/>
      </w:divBdr>
    </w:div>
    <w:div w:id="768502135">
      <w:bodyDiv w:val="1"/>
      <w:marLeft w:val="0"/>
      <w:marRight w:val="0"/>
      <w:marTop w:val="0"/>
      <w:marBottom w:val="0"/>
      <w:divBdr>
        <w:top w:val="none" w:sz="0" w:space="0" w:color="auto"/>
        <w:left w:val="none" w:sz="0" w:space="0" w:color="auto"/>
        <w:bottom w:val="none" w:sz="0" w:space="0" w:color="auto"/>
        <w:right w:val="none" w:sz="0" w:space="0" w:color="auto"/>
      </w:divBdr>
    </w:div>
    <w:div w:id="772480663">
      <w:bodyDiv w:val="1"/>
      <w:marLeft w:val="0"/>
      <w:marRight w:val="0"/>
      <w:marTop w:val="0"/>
      <w:marBottom w:val="0"/>
      <w:divBdr>
        <w:top w:val="none" w:sz="0" w:space="0" w:color="auto"/>
        <w:left w:val="none" w:sz="0" w:space="0" w:color="auto"/>
        <w:bottom w:val="none" w:sz="0" w:space="0" w:color="auto"/>
        <w:right w:val="none" w:sz="0" w:space="0" w:color="auto"/>
      </w:divBdr>
    </w:div>
    <w:div w:id="786587077">
      <w:bodyDiv w:val="1"/>
      <w:marLeft w:val="0"/>
      <w:marRight w:val="0"/>
      <w:marTop w:val="0"/>
      <w:marBottom w:val="0"/>
      <w:divBdr>
        <w:top w:val="none" w:sz="0" w:space="0" w:color="auto"/>
        <w:left w:val="none" w:sz="0" w:space="0" w:color="auto"/>
        <w:bottom w:val="none" w:sz="0" w:space="0" w:color="auto"/>
        <w:right w:val="none" w:sz="0" w:space="0" w:color="auto"/>
      </w:divBdr>
    </w:div>
    <w:div w:id="792947013">
      <w:bodyDiv w:val="1"/>
      <w:marLeft w:val="0"/>
      <w:marRight w:val="0"/>
      <w:marTop w:val="0"/>
      <w:marBottom w:val="0"/>
      <w:divBdr>
        <w:top w:val="none" w:sz="0" w:space="0" w:color="auto"/>
        <w:left w:val="none" w:sz="0" w:space="0" w:color="auto"/>
        <w:bottom w:val="none" w:sz="0" w:space="0" w:color="auto"/>
        <w:right w:val="none" w:sz="0" w:space="0" w:color="auto"/>
      </w:divBdr>
    </w:div>
    <w:div w:id="807671157">
      <w:bodyDiv w:val="1"/>
      <w:marLeft w:val="0"/>
      <w:marRight w:val="0"/>
      <w:marTop w:val="0"/>
      <w:marBottom w:val="0"/>
      <w:divBdr>
        <w:top w:val="none" w:sz="0" w:space="0" w:color="auto"/>
        <w:left w:val="none" w:sz="0" w:space="0" w:color="auto"/>
        <w:bottom w:val="none" w:sz="0" w:space="0" w:color="auto"/>
        <w:right w:val="none" w:sz="0" w:space="0" w:color="auto"/>
      </w:divBdr>
    </w:div>
    <w:div w:id="810828888">
      <w:bodyDiv w:val="1"/>
      <w:marLeft w:val="0"/>
      <w:marRight w:val="0"/>
      <w:marTop w:val="0"/>
      <w:marBottom w:val="0"/>
      <w:divBdr>
        <w:top w:val="none" w:sz="0" w:space="0" w:color="auto"/>
        <w:left w:val="none" w:sz="0" w:space="0" w:color="auto"/>
        <w:bottom w:val="none" w:sz="0" w:space="0" w:color="auto"/>
        <w:right w:val="none" w:sz="0" w:space="0" w:color="auto"/>
      </w:divBdr>
    </w:div>
    <w:div w:id="819230321">
      <w:bodyDiv w:val="1"/>
      <w:marLeft w:val="0"/>
      <w:marRight w:val="0"/>
      <w:marTop w:val="0"/>
      <w:marBottom w:val="0"/>
      <w:divBdr>
        <w:top w:val="none" w:sz="0" w:space="0" w:color="auto"/>
        <w:left w:val="none" w:sz="0" w:space="0" w:color="auto"/>
        <w:bottom w:val="none" w:sz="0" w:space="0" w:color="auto"/>
        <w:right w:val="none" w:sz="0" w:space="0" w:color="auto"/>
      </w:divBdr>
    </w:div>
    <w:div w:id="835728858">
      <w:bodyDiv w:val="1"/>
      <w:marLeft w:val="0"/>
      <w:marRight w:val="0"/>
      <w:marTop w:val="0"/>
      <w:marBottom w:val="0"/>
      <w:divBdr>
        <w:top w:val="none" w:sz="0" w:space="0" w:color="auto"/>
        <w:left w:val="none" w:sz="0" w:space="0" w:color="auto"/>
        <w:bottom w:val="none" w:sz="0" w:space="0" w:color="auto"/>
        <w:right w:val="none" w:sz="0" w:space="0" w:color="auto"/>
      </w:divBdr>
    </w:div>
    <w:div w:id="847524503">
      <w:bodyDiv w:val="1"/>
      <w:marLeft w:val="0"/>
      <w:marRight w:val="0"/>
      <w:marTop w:val="0"/>
      <w:marBottom w:val="0"/>
      <w:divBdr>
        <w:top w:val="none" w:sz="0" w:space="0" w:color="auto"/>
        <w:left w:val="none" w:sz="0" w:space="0" w:color="auto"/>
        <w:bottom w:val="none" w:sz="0" w:space="0" w:color="auto"/>
        <w:right w:val="none" w:sz="0" w:space="0" w:color="auto"/>
      </w:divBdr>
    </w:div>
    <w:div w:id="856503708">
      <w:bodyDiv w:val="1"/>
      <w:marLeft w:val="0"/>
      <w:marRight w:val="0"/>
      <w:marTop w:val="0"/>
      <w:marBottom w:val="0"/>
      <w:divBdr>
        <w:top w:val="none" w:sz="0" w:space="0" w:color="auto"/>
        <w:left w:val="none" w:sz="0" w:space="0" w:color="auto"/>
        <w:bottom w:val="none" w:sz="0" w:space="0" w:color="auto"/>
        <w:right w:val="none" w:sz="0" w:space="0" w:color="auto"/>
      </w:divBdr>
    </w:div>
    <w:div w:id="864832952">
      <w:bodyDiv w:val="1"/>
      <w:marLeft w:val="0"/>
      <w:marRight w:val="0"/>
      <w:marTop w:val="0"/>
      <w:marBottom w:val="0"/>
      <w:divBdr>
        <w:top w:val="none" w:sz="0" w:space="0" w:color="auto"/>
        <w:left w:val="none" w:sz="0" w:space="0" w:color="auto"/>
        <w:bottom w:val="none" w:sz="0" w:space="0" w:color="auto"/>
        <w:right w:val="none" w:sz="0" w:space="0" w:color="auto"/>
      </w:divBdr>
    </w:div>
    <w:div w:id="877085407">
      <w:bodyDiv w:val="1"/>
      <w:marLeft w:val="0"/>
      <w:marRight w:val="0"/>
      <w:marTop w:val="0"/>
      <w:marBottom w:val="0"/>
      <w:divBdr>
        <w:top w:val="none" w:sz="0" w:space="0" w:color="auto"/>
        <w:left w:val="none" w:sz="0" w:space="0" w:color="auto"/>
        <w:bottom w:val="none" w:sz="0" w:space="0" w:color="auto"/>
        <w:right w:val="none" w:sz="0" w:space="0" w:color="auto"/>
      </w:divBdr>
    </w:div>
    <w:div w:id="878739042">
      <w:bodyDiv w:val="1"/>
      <w:marLeft w:val="0"/>
      <w:marRight w:val="0"/>
      <w:marTop w:val="0"/>
      <w:marBottom w:val="0"/>
      <w:divBdr>
        <w:top w:val="none" w:sz="0" w:space="0" w:color="auto"/>
        <w:left w:val="none" w:sz="0" w:space="0" w:color="auto"/>
        <w:bottom w:val="none" w:sz="0" w:space="0" w:color="auto"/>
        <w:right w:val="none" w:sz="0" w:space="0" w:color="auto"/>
      </w:divBdr>
    </w:div>
    <w:div w:id="879127891">
      <w:bodyDiv w:val="1"/>
      <w:marLeft w:val="0"/>
      <w:marRight w:val="0"/>
      <w:marTop w:val="0"/>
      <w:marBottom w:val="0"/>
      <w:divBdr>
        <w:top w:val="none" w:sz="0" w:space="0" w:color="auto"/>
        <w:left w:val="none" w:sz="0" w:space="0" w:color="auto"/>
        <w:bottom w:val="none" w:sz="0" w:space="0" w:color="auto"/>
        <w:right w:val="none" w:sz="0" w:space="0" w:color="auto"/>
      </w:divBdr>
    </w:div>
    <w:div w:id="880675629">
      <w:bodyDiv w:val="1"/>
      <w:marLeft w:val="0"/>
      <w:marRight w:val="0"/>
      <w:marTop w:val="0"/>
      <w:marBottom w:val="0"/>
      <w:divBdr>
        <w:top w:val="none" w:sz="0" w:space="0" w:color="auto"/>
        <w:left w:val="none" w:sz="0" w:space="0" w:color="auto"/>
        <w:bottom w:val="none" w:sz="0" w:space="0" w:color="auto"/>
        <w:right w:val="none" w:sz="0" w:space="0" w:color="auto"/>
      </w:divBdr>
    </w:div>
    <w:div w:id="888759850">
      <w:bodyDiv w:val="1"/>
      <w:marLeft w:val="0"/>
      <w:marRight w:val="0"/>
      <w:marTop w:val="0"/>
      <w:marBottom w:val="0"/>
      <w:divBdr>
        <w:top w:val="none" w:sz="0" w:space="0" w:color="auto"/>
        <w:left w:val="none" w:sz="0" w:space="0" w:color="auto"/>
        <w:bottom w:val="none" w:sz="0" w:space="0" w:color="auto"/>
        <w:right w:val="none" w:sz="0" w:space="0" w:color="auto"/>
      </w:divBdr>
    </w:div>
    <w:div w:id="894703819">
      <w:bodyDiv w:val="1"/>
      <w:marLeft w:val="0"/>
      <w:marRight w:val="0"/>
      <w:marTop w:val="0"/>
      <w:marBottom w:val="0"/>
      <w:divBdr>
        <w:top w:val="none" w:sz="0" w:space="0" w:color="auto"/>
        <w:left w:val="none" w:sz="0" w:space="0" w:color="auto"/>
        <w:bottom w:val="none" w:sz="0" w:space="0" w:color="auto"/>
        <w:right w:val="none" w:sz="0" w:space="0" w:color="auto"/>
      </w:divBdr>
    </w:div>
    <w:div w:id="894967988">
      <w:bodyDiv w:val="1"/>
      <w:marLeft w:val="0"/>
      <w:marRight w:val="0"/>
      <w:marTop w:val="0"/>
      <w:marBottom w:val="0"/>
      <w:divBdr>
        <w:top w:val="none" w:sz="0" w:space="0" w:color="auto"/>
        <w:left w:val="none" w:sz="0" w:space="0" w:color="auto"/>
        <w:bottom w:val="none" w:sz="0" w:space="0" w:color="auto"/>
        <w:right w:val="none" w:sz="0" w:space="0" w:color="auto"/>
      </w:divBdr>
    </w:div>
    <w:div w:id="902521161">
      <w:bodyDiv w:val="1"/>
      <w:marLeft w:val="0"/>
      <w:marRight w:val="0"/>
      <w:marTop w:val="0"/>
      <w:marBottom w:val="0"/>
      <w:divBdr>
        <w:top w:val="none" w:sz="0" w:space="0" w:color="auto"/>
        <w:left w:val="none" w:sz="0" w:space="0" w:color="auto"/>
        <w:bottom w:val="none" w:sz="0" w:space="0" w:color="auto"/>
        <w:right w:val="none" w:sz="0" w:space="0" w:color="auto"/>
      </w:divBdr>
    </w:div>
    <w:div w:id="903876595">
      <w:bodyDiv w:val="1"/>
      <w:marLeft w:val="0"/>
      <w:marRight w:val="0"/>
      <w:marTop w:val="0"/>
      <w:marBottom w:val="0"/>
      <w:divBdr>
        <w:top w:val="none" w:sz="0" w:space="0" w:color="auto"/>
        <w:left w:val="none" w:sz="0" w:space="0" w:color="auto"/>
        <w:bottom w:val="none" w:sz="0" w:space="0" w:color="auto"/>
        <w:right w:val="none" w:sz="0" w:space="0" w:color="auto"/>
      </w:divBdr>
    </w:div>
    <w:div w:id="916088032">
      <w:bodyDiv w:val="1"/>
      <w:marLeft w:val="0"/>
      <w:marRight w:val="0"/>
      <w:marTop w:val="0"/>
      <w:marBottom w:val="0"/>
      <w:divBdr>
        <w:top w:val="none" w:sz="0" w:space="0" w:color="auto"/>
        <w:left w:val="none" w:sz="0" w:space="0" w:color="auto"/>
        <w:bottom w:val="none" w:sz="0" w:space="0" w:color="auto"/>
        <w:right w:val="none" w:sz="0" w:space="0" w:color="auto"/>
      </w:divBdr>
    </w:div>
    <w:div w:id="916672529">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116377">
      <w:bodyDiv w:val="1"/>
      <w:marLeft w:val="0"/>
      <w:marRight w:val="0"/>
      <w:marTop w:val="0"/>
      <w:marBottom w:val="0"/>
      <w:divBdr>
        <w:top w:val="none" w:sz="0" w:space="0" w:color="auto"/>
        <w:left w:val="none" w:sz="0" w:space="0" w:color="auto"/>
        <w:bottom w:val="none" w:sz="0" w:space="0" w:color="auto"/>
        <w:right w:val="none" w:sz="0" w:space="0" w:color="auto"/>
      </w:divBdr>
    </w:div>
    <w:div w:id="933434467">
      <w:bodyDiv w:val="1"/>
      <w:marLeft w:val="0"/>
      <w:marRight w:val="0"/>
      <w:marTop w:val="0"/>
      <w:marBottom w:val="0"/>
      <w:divBdr>
        <w:top w:val="none" w:sz="0" w:space="0" w:color="auto"/>
        <w:left w:val="none" w:sz="0" w:space="0" w:color="auto"/>
        <w:bottom w:val="none" w:sz="0" w:space="0" w:color="auto"/>
        <w:right w:val="none" w:sz="0" w:space="0" w:color="auto"/>
      </w:divBdr>
    </w:div>
    <w:div w:id="951857504">
      <w:bodyDiv w:val="1"/>
      <w:marLeft w:val="0"/>
      <w:marRight w:val="0"/>
      <w:marTop w:val="0"/>
      <w:marBottom w:val="0"/>
      <w:divBdr>
        <w:top w:val="none" w:sz="0" w:space="0" w:color="auto"/>
        <w:left w:val="none" w:sz="0" w:space="0" w:color="auto"/>
        <w:bottom w:val="none" w:sz="0" w:space="0" w:color="auto"/>
        <w:right w:val="none" w:sz="0" w:space="0" w:color="auto"/>
      </w:divBdr>
    </w:div>
    <w:div w:id="959146327">
      <w:bodyDiv w:val="1"/>
      <w:marLeft w:val="0"/>
      <w:marRight w:val="0"/>
      <w:marTop w:val="0"/>
      <w:marBottom w:val="0"/>
      <w:divBdr>
        <w:top w:val="none" w:sz="0" w:space="0" w:color="auto"/>
        <w:left w:val="none" w:sz="0" w:space="0" w:color="auto"/>
        <w:bottom w:val="none" w:sz="0" w:space="0" w:color="auto"/>
        <w:right w:val="none" w:sz="0" w:space="0" w:color="auto"/>
      </w:divBdr>
    </w:div>
    <w:div w:id="981353162">
      <w:bodyDiv w:val="1"/>
      <w:marLeft w:val="0"/>
      <w:marRight w:val="0"/>
      <w:marTop w:val="0"/>
      <w:marBottom w:val="0"/>
      <w:divBdr>
        <w:top w:val="none" w:sz="0" w:space="0" w:color="auto"/>
        <w:left w:val="none" w:sz="0" w:space="0" w:color="auto"/>
        <w:bottom w:val="none" w:sz="0" w:space="0" w:color="auto"/>
        <w:right w:val="none" w:sz="0" w:space="0" w:color="auto"/>
      </w:divBdr>
    </w:div>
    <w:div w:id="983461191">
      <w:bodyDiv w:val="1"/>
      <w:marLeft w:val="0"/>
      <w:marRight w:val="0"/>
      <w:marTop w:val="0"/>
      <w:marBottom w:val="0"/>
      <w:divBdr>
        <w:top w:val="none" w:sz="0" w:space="0" w:color="auto"/>
        <w:left w:val="none" w:sz="0" w:space="0" w:color="auto"/>
        <w:bottom w:val="none" w:sz="0" w:space="0" w:color="auto"/>
        <w:right w:val="none" w:sz="0" w:space="0" w:color="auto"/>
      </w:divBdr>
    </w:div>
    <w:div w:id="996572533">
      <w:bodyDiv w:val="1"/>
      <w:marLeft w:val="0"/>
      <w:marRight w:val="0"/>
      <w:marTop w:val="0"/>
      <w:marBottom w:val="0"/>
      <w:divBdr>
        <w:top w:val="none" w:sz="0" w:space="0" w:color="auto"/>
        <w:left w:val="none" w:sz="0" w:space="0" w:color="auto"/>
        <w:bottom w:val="none" w:sz="0" w:space="0" w:color="auto"/>
        <w:right w:val="none" w:sz="0" w:space="0" w:color="auto"/>
      </w:divBdr>
    </w:div>
    <w:div w:id="1002510513">
      <w:bodyDiv w:val="1"/>
      <w:marLeft w:val="0"/>
      <w:marRight w:val="0"/>
      <w:marTop w:val="0"/>
      <w:marBottom w:val="0"/>
      <w:divBdr>
        <w:top w:val="none" w:sz="0" w:space="0" w:color="auto"/>
        <w:left w:val="none" w:sz="0" w:space="0" w:color="auto"/>
        <w:bottom w:val="none" w:sz="0" w:space="0" w:color="auto"/>
        <w:right w:val="none" w:sz="0" w:space="0" w:color="auto"/>
      </w:divBdr>
      <w:divsChild>
        <w:div w:id="1236549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24501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303144">
          <w:blockQuote w:val="1"/>
          <w:marLeft w:val="720"/>
          <w:marRight w:val="720"/>
          <w:marTop w:val="100"/>
          <w:marBottom w:val="100"/>
          <w:divBdr>
            <w:top w:val="none" w:sz="0" w:space="0" w:color="auto"/>
            <w:left w:val="none" w:sz="0" w:space="0" w:color="auto"/>
            <w:bottom w:val="none" w:sz="0" w:space="0" w:color="auto"/>
            <w:right w:val="none" w:sz="0" w:space="0" w:color="auto"/>
          </w:divBdr>
        </w:div>
        <w:div w:id="431753608">
          <w:blockQuote w:val="1"/>
          <w:marLeft w:val="720"/>
          <w:marRight w:val="720"/>
          <w:marTop w:val="100"/>
          <w:marBottom w:val="100"/>
          <w:divBdr>
            <w:top w:val="none" w:sz="0" w:space="0" w:color="auto"/>
            <w:left w:val="none" w:sz="0" w:space="0" w:color="auto"/>
            <w:bottom w:val="none" w:sz="0" w:space="0" w:color="auto"/>
            <w:right w:val="none" w:sz="0" w:space="0" w:color="auto"/>
          </w:divBdr>
        </w:div>
        <w:div w:id="90060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1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8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107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7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0830">
          <w:blockQuote w:val="1"/>
          <w:marLeft w:val="720"/>
          <w:marRight w:val="720"/>
          <w:marTop w:val="100"/>
          <w:marBottom w:val="100"/>
          <w:divBdr>
            <w:top w:val="none" w:sz="0" w:space="0" w:color="auto"/>
            <w:left w:val="none" w:sz="0" w:space="0" w:color="auto"/>
            <w:bottom w:val="none" w:sz="0" w:space="0" w:color="auto"/>
            <w:right w:val="none" w:sz="0" w:space="0" w:color="auto"/>
          </w:divBdr>
        </w:div>
        <w:div w:id="529345968">
          <w:blockQuote w:val="1"/>
          <w:marLeft w:val="720"/>
          <w:marRight w:val="720"/>
          <w:marTop w:val="100"/>
          <w:marBottom w:val="100"/>
          <w:divBdr>
            <w:top w:val="none" w:sz="0" w:space="0" w:color="auto"/>
            <w:left w:val="none" w:sz="0" w:space="0" w:color="auto"/>
            <w:bottom w:val="none" w:sz="0" w:space="0" w:color="auto"/>
            <w:right w:val="none" w:sz="0" w:space="0" w:color="auto"/>
          </w:divBdr>
        </w:div>
        <w:div w:id="742410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709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336339">
      <w:bodyDiv w:val="1"/>
      <w:marLeft w:val="0"/>
      <w:marRight w:val="0"/>
      <w:marTop w:val="0"/>
      <w:marBottom w:val="0"/>
      <w:divBdr>
        <w:top w:val="none" w:sz="0" w:space="0" w:color="auto"/>
        <w:left w:val="none" w:sz="0" w:space="0" w:color="auto"/>
        <w:bottom w:val="none" w:sz="0" w:space="0" w:color="auto"/>
        <w:right w:val="none" w:sz="0" w:space="0" w:color="auto"/>
      </w:divBdr>
    </w:div>
    <w:div w:id="1022970402">
      <w:bodyDiv w:val="1"/>
      <w:marLeft w:val="0"/>
      <w:marRight w:val="0"/>
      <w:marTop w:val="0"/>
      <w:marBottom w:val="0"/>
      <w:divBdr>
        <w:top w:val="none" w:sz="0" w:space="0" w:color="auto"/>
        <w:left w:val="none" w:sz="0" w:space="0" w:color="auto"/>
        <w:bottom w:val="none" w:sz="0" w:space="0" w:color="auto"/>
        <w:right w:val="none" w:sz="0" w:space="0" w:color="auto"/>
      </w:divBdr>
    </w:div>
    <w:div w:id="1029723165">
      <w:bodyDiv w:val="1"/>
      <w:marLeft w:val="0"/>
      <w:marRight w:val="0"/>
      <w:marTop w:val="0"/>
      <w:marBottom w:val="0"/>
      <w:divBdr>
        <w:top w:val="none" w:sz="0" w:space="0" w:color="auto"/>
        <w:left w:val="none" w:sz="0" w:space="0" w:color="auto"/>
        <w:bottom w:val="none" w:sz="0" w:space="0" w:color="auto"/>
        <w:right w:val="none" w:sz="0" w:space="0" w:color="auto"/>
      </w:divBdr>
    </w:div>
    <w:div w:id="1030953739">
      <w:bodyDiv w:val="1"/>
      <w:marLeft w:val="0"/>
      <w:marRight w:val="0"/>
      <w:marTop w:val="0"/>
      <w:marBottom w:val="0"/>
      <w:divBdr>
        <w:top w:val="none" w:sz="0" w:space="0" w:color="auto"/>
        <w:left w:val="none" w:sz="0" w:space="0" w:color="auto"/>
        <w:bottom w:val="none" w:sz="0" w:space="0" w:color="auto"/>
        <w:right w:val="none" w:sz="0" w:space="0" w:color="auto"/>
      </w:divBdr>
    </w:div>
    <w:div w:id="1033268248">
      <w:bodyDiv w:val="1"/>
      <w:marLeft w:val="0"/>
      <w:marRight w:val="0"/>
      <w:marTop w:val="0"/>
      <w:marBottom w:val="0"/>
      <w:divBdr>
        <w:top w:val="none" w:sz="0" w:space="0" w:color="auto"/>
        <w:left w:val="none" w:sz="0" w:space="0" w:color="auto"/>
        <w:bottom w:val="none" w:sz="0" w:space="0" w:color="auto"/>
        <w:right w:val="none" w:sz="0" w:space="0" w:color="auto"/>
      </w:divBdr>
    </w:div>
    <w:div w:id="1041445499">
      <w:bodyDiv w:val="1"/>
      <w:marLeft w:val="0"/>
      <w:marRight w:val="0"/>
      <w:marTop w:val="0"/>
      <w:marBottom w:val="0"/>
      <w:divBdr>
        <w:top w:val="none" w:sz="0" w:space="0" w:color="auto"/>
        <w:left w:val="none" w:sz="0" w:space="0" w:color="auto"/>
        <w:bottom w:val="none" w:sz="0" w:space="0" w:color="auto"/>
        <w:right w:val="none" w:sz="0" w:space="0" w:color="auto"/>
      </w:divBdr>
    </w:div>
    <w:div w:id="1049307291">
      <w:bodyDiv w:val="1"/>
      <w:marLeft w:val="0"/>
      <w:marRight w:val="0"/>
      <w:marTop w:val="0"/>
      <w:marBottom w:val="0"/>
      <w:divBdr>
        <w:top w:val="none" w:sz="0" w:space="0" w:color="auto"/>
        <w:left w:val="none" w:sz="0" w:space="0" w:color="auto"/>
        <w:bottom w:val="none" w:sz="0" w:space="0" w:color="auto"/>
        <w:right w:val="none" w:sz="0" w:space="0" w:color="auto"/>
      </w:divBdr>
    </w:div>
    <w:div w:id="1067995249">
      <w:bodyDiv w:val="1"/>
      <w:marLeft w:val="0"/>
      <w:marRight w:val="0"/>
      <w:marTop w:val="0"/>
      <w:marBottom w:val="0"/>
      <w:divBdr>
        <w:top w:val="none" w:sz="0" w:space="0" w:color="auto"/>
        <w:left w:val="none" w:sz="0" w:space="0" w:color="auto"/>
        <w:bottom w:val="none" w:sz="0" w:space="0" w:color="auto"/>
        <w:right w:val="none" w:sz="0" w:space="0" w:color="auto"/>
      </w:divBdr>
    </w:div>
    <w:div w:id="1077365463">
      <w:bodyDiv w:val="1"/>
      <w:marLeft w:val="0"/>
      <w:marRight w:val="0"/>
      <w:marTop w:val="0"/>
      <w:marBottom w:val="0"/>
      <w:divBdr>
        <w:top w:val="none" w:sz="0" w:space="0" w:color="auto"/>
        <w:left w:val="none" w:sz="0" w:space="0" w:color="auto"/>
        <w:bottom w:val="none" w:sz="0" w:space="0" w:color="auto"/>
        <w:right w:val="none" w:sz="0" w:space="0" w:color="auto"/>
      </w:divBdr>
    </w:div>
    <w:div w:id="1129126502">
      <w:bodyDiv w:val="1"/>
      <w:marLeft w:val="0"/>
      <w:marRight w:val="0"/>
      <w:marTop w:val="0"/>
      <w:marBottom w:val="0"/>
      <w:divBdr>
        <w:top w:val="none" w:sz="0" w:space="0" w:color="auto"/>
        <w:left w:val="none" w:sz="0" w:space="0" w:color="auto"/>
        <w:bottom w:val="none" w:sz="0" w:space="0" w:color="auto"/>
        <w:right w:val="none" w:sz="0" w:space="0" w:color="auto"/>
      </w:divBdr>
    </w:div>
    <w:div w:id="1143888017">
      <w:bodyDiv w:val="1"/>
      <w:marLeft w:val="0"/>
      <w:marRight w:val="0"/>
      <w:marTop w:val="0"/>
      <w:marBottom w:val="0"/>
      <w:divBdr>
        <w:top w:val="none" w:sz="0" w:space="0" w:color="auto"/>
        <w:left w:val="none" w:sz="0" w:space="0" w:color="auto"/>
        <w:bottom w:val="none" w:sz="0" w:space="0" w:color="auto"/>
        <w:right w:val="none" w:sz="0" w:space="0" w:color="auto"/>
      </w:divBdr>
    </w:div>
    <w:div w:id="1155029204">
      <w:bodyDiv w:val="1"/>
      <w:marLeft w:val="0"/>
      <w:marRight w:val="0"/>
      <w:marTop w:val="0"/>
      <w:marBottom w:val="0"/>
      <w:divBdr>
        <w:top w:val="none" w:sz="0" w:space="0" w:color="auto"/>
        <w:left w:val="none" w:sz="0" w:space="0" w:color="auto"/>
        <w:bottom w:val="none" w:sz="0" w:space="0" w:color="auto"/>
        <w:right w:val="none" w:sz="0" w:space="0" w:color="auto"/>
      </w:divBdr>
    </w:div>
    <w:div w:id="1173453955">
      <w:bodyDiv w:val="1"/>
      <w:marLeft w:val="0"/>
      <w:marRight w:val="0"/>
      <w:marTop w:val="0"/>
      <w:marBottom w:val="0"/>
      <w:divBdr>
        <w:top w:val="none" w:sz="0" w:space="0" w:color="auto"/>
        <w:left w:val="none" w:sz="0" w:space="0" w:color="auto"/>
        <w:bottom w:val="none" w:sz="0" w:space="0" w:color="auto"/>
        <w:right w:val="none" w:sz="0" w:space="0" w:color="auto"/>
      </w:divBdr>
    </w:div>
    <w:div w:id="1194033028">
      <w:bodyDiv w:val="1"/>
      <w:marLeft w:val="0"/>
      <w:marRight w:val="0"/>
      <w:marTop w:val="0"/>
      <w:marBottom w:val="0"/>
      <w:divBdr>
        <w:top w:val="none" w:sz="0" w:space="0" w:color="auto"/>
        <w:left w:val="none" w:sz="0" w:space="0" w:color="auto"/>
        <w:bottom w:val="none" w:sz="0" w:space="0" w:color="auto"/>
        <w:right w:val="none" w:sz="0" w:space="0" w:color="auto"/>
      </w:divBdr>
    </w:div>
    <w:div w:id="1210799059">
      <w:bodyDiv w:val="1"/>
      <w:marLeft w:val="0"/>
      <w:marRight w:val="0"/>
      <w:marTop w:val="0"/>
      <w:marBottom w:val="0"/>
      <w:divBdr>
        <w:top w:val="none" w:sz="0" w:space="0" w:color="auto"/>
        <w:left w:val="none" w:sz="0" w:space="0" w:color="auto"/>
        <w:bottom w:val="none" w:sz="0" w:space="0" w:color="auto"/>
        <w:right w:val="none" w:sz="0" w:space="0" w:color="auto"/>
      </w:divBdr>
    </w:div>
    <w:div w:id="1214080837">
      <w:bodyDiv w:val="1"/>
      <w:marLeft w:val="0"/>
      <w:marRight w:val="0"/>
      <w:marTop w:val="0"/>
      <w:marBottom w:val="0"/>
      <w:divBdr>
        <w:top w:val="none" w:sz="0" w:space="0" w:color="auto"/>
        <w:left w:val="none" w:sz="0" w:space="0" w:color="auto"/>
        <w:bottom w:val="none" w:sz="0" w:space="0" w:color="auto"/>
        <w:right w:val="none" w:sz="0" w:space="0" w:color="auto"/>
      </w:divBdr>
    </w:div>
    <w:div w:id="1221094548">
      <w:bodyDiv w:val="1"/>
      <w:marLeft w:val="0"/>
      <w:marRight w:val="0"/>
      <w:marTop w:val="0"/>
      <w:marBottom w:val="0"/>
      <w:divBdr>
        <w:top w:val="none" w:sz="0" w:space="0" w:color="auto"/>
        <w:left w:val="none" w:sz="0" w:space="0" w:color="auto"/>
        <w:bottom w:val="none" w:sz="0" w:space="0" w:color="auto"/>
        <w:right w:val="none" w:sz="0" w:space="0" w:color="auto"/>
      </w:divBdr>
    </w:div>
    <w:div w:id="1221284545">
      <w:bodyDiv w:val="1"/>
      <w:marLeft w:val="0"/>
      <w:marRight w:val="0"/>
      <w:marTop w:val="0"/>
      <w:marBottom w:val="0"/>
      <w:divBdr>
        <w:top w:val="none" w:sz="0" w:space="0" w:color="auto"/>
        <w:left w:val="none" w:sz="0" w:space="0" w:color="auto"/>
        <w:bottom w:val="none" w:sz="0" w:space="0" w:color="auto"/>
        <w:right w:val="none" w:sz="0" w:space="0" w:color="auto"/>
      </w:divBdr>
    </w:div>
    <w:div w:id="1236237244">
      <w:bodyDiv w:val="1"/>
      <w:marLeft w:val="0"/>
      <w:marRight w:val="0"/>
      <w:marTop w:val="0"/>
      <w:marBottom w:val="0"/>
      <w:divBdr>
        <w:top w:val="none" w:sz="0" w:space="0" w:color="auto"/>
        <w:left w:val="none" w:sz="0" w:space="0" w:color="auto"/>
        <w:bottom w:val="none" w:sz="0" w:space="0" w:color="auto"/>
        <w:right w:val="none" w:sz="0" w:space="0" w:color="auto"/>
      </w:divBdr>
    </w:div>
    <w:div w:id="1245457073">
      <w:bodyDiv w:val="1"/>
      <w:marLeft w:val="0"/>
      <w:marRight w:val="0"/>
      <w:marTop w:val="0"/>
      <w:marBottom w:val="0"/>
      <w:divBdr>
        <w:top w:val="none" w:sz="0" w:space="0" w:color="auto"/>
        <w:left w:val="none" w:sz="0" w:space="0" w:color="auto"/>
        <w:bottom w:val="none" w:sz="0" w:space="0" w:color="auto"/>
        <w:right w:val="none" w:sz="0" w:space="0" w:color="auto"/>
      </w:divBdr>
    </w:div>
    <w:div w:id="1249197741">
      <w:bodyDiv w:val="1"/>
      <w:marLeft w:val="0"/>
      <w:marRight w:val="0"/>
      <w:marTop w:val="0"/>
      <w:marBottom w:val="0"/>
      <w:divBdr>
        <w:top w:val="none" w:sz="0" w:space="0" w:color="auto"/>
        <w:left w:val="none" w:sz="0" w:space="0" w:color="auto"/>
        <w:bottom w:val="none" w:sz="0" w:space="0" w:color="auto"/>
        <w:right w:val="none" w:sz="0" w:space="0" w:color="auto"/>
      </w:divBdr>
    </w:div>
    <w:div w:id="1256472691">
      <w:bodyDiv w:val="1"/>
      <w:marLeft w:val="0"/>
      <w:marRight w:val="0"/>
      <w:marTop w:val="0"/>
      <w:marBottom w:val="0"/>
      <w:divBdr>
        <w:top w:val="none" w:sz="0" w:space="0" w:color="auto"/>
        <w:left w:val="none" w:sz="0" w:space="0" w:color="auto"/>
        <w:bottom w:val="none" w:sz="0" w:space="0" w:color="auto"/>
        <w:right w:val="none" w:sz="0" w:space="0" w:color="auto"/>
      </w:divBdr>
    </w:div>
    <w:div w:id="1261183721">
      <w:bodyDiv w:val="1"/>
      <w:marLeft w:val="0"/>
      <w:marRight w:val="0"/>
      <w:marTop w:val="0"/>
      <w:marBottom w:val="0"/>
      <w:divBdr>
        <w:top w:val="none" w:sz="0" w:space="0" w:color="auto"/>
        <w:left w:val="none" w:sz="0" w:space="0" w:color="auto"/>
        <w:bottom w:val="none" w:sz="0" w:space="0" w:color="auto"/>
        <w:right w:val="none" w:sz="0" w:space="0" w:color="auto"/>
      </w:divBdr>
    </w:div>
    <w:div w:id="1277910058">
      <w:bodyDiv w:val="1"/>
      <w:marLeft w:val="0"/>
      <w:marRight w:val="0"/>
      <w:marTop w:val="0"/>
      <w:marBottom w:val="0"/>
      <w:divBdr>
        <w:top w:val="none" w:sz="0" w:space="0" w:color="auto"/>
        <w:left w:val="none" w:sz="0" w:space="0" w:color="auto"/>
        <w:bottom w:val="none" w:sz="0" w:space="0" w:color="auto"/>
        <w:right w:val="none" w:sz="0" w:space="0" w:color="auto"/>
      </w:divBdr>
    </w:div>
    <w:div w:id="1279221534">
      <w:bodyDiv w:val="1"/>
      <w:marLeft w:val="0"/>
      <w:marRight w:val="0"/>
      <w:marTop w:val="0"/>
      <w:marBottom w:val="0"/>
      <w:divBdr>
        <w:top w:val="none" w:sz="0" w:space="0" w:color="auto"/>
        <w:left w:val="none" w:sz="0" w:space="0" w:color="auto"/>
        <w:bottom w:val="none" w:sz="0" w:space="0" w:color="auto"/>
        <w:right w:val="none" w:sz="0" w:space="0" w:color="auto"/>
      </w:divBdr>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33296798">
      <w:bodyDiv w:val="1"/>
      <w:marLeft w:val="0"/>
      <w:marRight w:val="0"/>
      <w:marTop w:val="0"/>
      <w:marBottom w:val="0"/>
      <w:divBdr>
        <w:top w:val="none" w:sz="0" w:space="0" w:color="auto"/>
        <w:left w:val="none" w:sz="0" w:space="0" w:color="auto"/>
        <w:bottom w:val="none" w:sz="0" w:space="0" w:color="auto"/>
        <w:right w:val="none" w:sz="0" w:space="0" w:color="auto"/>
      </w:divBdr>
    </w:div>
    <w:div w:id="1341545439">
      <w:bodyDiv w:val="1"/>
      <w:marLeft w:val="0"/>
      <w:marRight w:val="0"/>
      <w:marTop w:val="0"/>
      <w:marBottom w:val="0"/>
      <w:divBdr>
        <w:top w:val="none" w:sz="0" w:space="0" w:color="auto"/>
        <w:left w:val="none" w:sz="0" w:space="0" w:color="auto"/>
        <w:bottom w:val="none" w:sz="0" w:space="0" w:color="auto"/>
        <w:right w:val="none" w:sz="0" w:space="0" w:color="auto"/>
      </w:divBdr>
    </w:div>
    <w:div w:id="1342971513">
      <w:bodyDiv w:val="1"/>
      <w:marLeft w:val="0"/>
      <w:marRight w:val="0"/>
      <w:marTop w:val="0"/>
      <w:marBottom w:val="0"/>
      <w:divBdr>
        <w:top w:val="none" w:sz="0" w:space="0" w:color="auto"/>
        <w:left w:val="none" w:sz="0" w:space="0" w:color="auto"/>
        <w:bottom w:val="none" w:sz="0" w:space="0" w:color="auto"/>
        <w:right w:val="none" w:sz="0" w:space="0" w:color="auto"/>
      </w:divBdr>
    </w:div>
    <w:div w:id="1365641180">
      <w:bodyDiv w:val="1"/>
      <w:marLeft w:val="0"/>
      <w:marRight w:val="0"/>
      <w:marTop w:val="0"/>
      <w:marBottom w:val="0"/>
      <w:divBdr>
        <w:top w:val="none" w:sz="0" w:space="0" w:color="auto"/>
        <w:left w:val="none" w:sz="0" w:space="0" w:color="auto"/>
        <w:bottom w:val="none" w:sz="0" w:space="0" w:color="auto"/>
        <w:right w:val="none" w:sz="0" w:space="0" w:color="auto"/>
      </w:divBdr>
    </w:div>
    <w:div w:id="1378354360">
      <w:bodyDiv w:val="1"/>
      <w:marLeft w:val="0"/>
      <w:marRight w:val="0"/>
      <w:marTop w:val="0"/>
      <w:marBottom w:val="0"/>
      <w:divBdr>
        <w:top w:val="none" w:sz="0" w:space="0" w:color="auto"/>
        <w:left w:val="none" w:sz="0" w:space="0" w:color="auto"/>
        <w:bottom w:val="none" w:sz="0" w:space="0" w:color="auto"/>
        <w:right w:val="none" w:sz="0" w:space="0" w:color="auto"/>
      </w:divBdr>
    </w:div>
    <w:div w:id="1412116014">
      <w:bodyDiv w:val="1"/>
      <w:marLeft w:val="0"/>
      <w:marRight w:val="0"/>
      <w:marTop w:val="0"/>
      <w:marBottom w:val="0"/>
      <w:divBdr>
        <w:top w:val="none" w:sz="0" w:space="0" w:color="auto"/>
        <w:left w:val="none" w:sz="0" w:space="0" w:color="auto"/>
        <w:bottom w:val="none" w:sz="0" w:space="0" w:color="auto"/>
        <w:right w:val="none" w:sz="0" w:space="0" w:color="auto"/>
      </w:divBdr>
    </w:div>
    <w:div w:id="1424031749">
      <w:bodyDiv w:val="1"/>
      <w:marLeft w:val="0"/>
      <w:marRight w:val="0"/>
      <w:marTop w:val="0"/>
      <w:marBottom w:val="0"/>
      <w:divBdr>
        <w:top w:val="none" w:sz="0" w:space="0" w:color="auto"/>
        <w:left w:val="none" w:sz="0" w:space="0" w:color="auto"/>
        <w:bottom w:val="none" w:sz="0" w:space="0" w:color="auto"/>
        <w:right w:val="none" w:sz="0" w:space="0" w:color="auto"/>
      </w:divBdr>
    </w:div>
    <w:div w:id="1424689877">
      <w:bodyDiv w:val="1"/>
      <w:marLeft w:val="0"/>
      <w:marRight w:val="0"/>
      <w:marTop w:val="0"/>
      <w:marBottom w:val="0"/>
      <w:divBdr>
        <w:top w:val="none" w:sz="0" w:space="0" w:color="auto"/>
        <w:left w:val="none" w:sz="0" w:space="0" w:color="auto"/>
        <w:bottom w:val="none" w:sz="0" w:space="0" w:color="auto"/>
        <w:right w:val="none" w:sz="0" w:space="0" w:color="auto"/>
      </w:divBdr>
    </w:div>
    <w:div w:id="1430276504">
      <w:bodyDiv w:val="1"/>
      <w:marLeft w:val="0"/>
      <w:marRight w:val="0"/>
      <w:marTop w:val="0"/>
      <w:marBottom w:val="0"/>
      <w:divBdr>
        <w:top w:val="none" w:sz="0" w:space="0" w:color="auto"/>
        <w:left w:val="none" w:sz="0" w:space="0" w:color="auto"/>
        <w:bottom w:val="none" w:sz="0" w:space="0" w:color="auto"/>
        <w:right w:val="none" w:sz="0" w:space="0" w:color="auto"/>
      </w:divBdr>
    </w:div>
    <w:div w:id="1439908635">
      <w:bodyDiv w:val="1"/>
      <w:marLeft w:val="0"/>
      <w:marRight w:val="0"/>
      <w:marTop w:val="0"/>
      <w:marBottom w:val="0"/>
      <w:divBdr>
        <w:top w:val="none" w:sz="0" w:space="0" w:color="auto"/>
        <w:left w:val="none" w:sz="0" w:space="0" w:color="auto"/>
        <w:bottom w:val="none" w:sz="0" w:space="0" w:color="auto"/>
        <w:right w:val="none" w:sz="0" w:space="0" w:color="auto"/>
      </w:divBdr>
      <w:divsChild>
        <w:div w:id="10182409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864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395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06158">
          <w:blockQuote w:val="1"/>
          <w:marLeft w:val="720"/>
          <w:marRight w:val="720"/>
          <w:marTop w:val="100"/>
          <w:marBottom w:val="100"/>
          <w:divBdr>
            <w:top w:val="none" w:sz="0" w:space="0" w:color="auto"/>
            <w:left w:val="none" w:sz="0" w:space="0" w:color="auto"/>
            <w:bottom w:val="none" w:sz="0" w:space="0" w:color="auto"/>
            <w:right w:val="none" w:sz="0" w:space="0" w:color="auto"/>
          </w:divBdr>
        </w:div>
        <w:div w:id="2501672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0476813">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52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964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968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943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536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483906">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97670">
          <w:blockQuote w:val="1"/>
          <w:marLeft w:val="720"/>
          <w:marRight w:val="720"/>
          <w:marTop w:val="100"/>
          <w:marBottom w:val="100"/>
          <w:divBdr>
            <w:top w:val="none" w:sz="0" w:space="0" w:color="auto"/>
            <w:left w:val="none" w:sz="0" w:space="0" w:color="auto"/>
            <w:bottom w:val="none" w:sz="0" w:space="0" w:color="auto"/>
            <w:right w:val="none" w:sz="0" w:space="0" w:color="auto"/>
          </w:divBdr>
        </w:div>
        <w:div w:id="689187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924715">
      <w:bodyDiv w:val="1"/>
      <w:marLeft w:val="0"/>
      <w:marRight w:val="0"/>
      <w:marTop w:val="0"/>
      <w:marBottom w:val="0"/>
      <w:divBdr>
        <w:top w:val="none" w:sz="0" w:space="0" w:color="auto"/>
        <w:left w:val="none" w:sz="0" w:space="0" w:color="auto"/>
        <w:bottom w:val="none" w:sz="0" w:space="0" w:color="auto"/>
        <w:right w:val="none" w:sz="0" w:space="0" w:color="auto"/>
      </w:divBdr>
    </w:div>
    <w:div w:id="1465196633">
      <w:bodyDiv w:val="1"/>
      <w:marLeft w:val="0"/>
      <w:marRight w:val="0"/>
      <w:marTop w:val="0"/>
      <w:marBottom w:val="0"/>
      <w:divBdr>
        <w:top w:val="none" w:sz="0" w:space="0" w:color="auto"/>
        <w:left w:val="none" w:sz="0" w:space="0" w:color="auto"/>
        <w:bottom w:val="none" w:sz="0" w:space="0" w:color="auto"/>
        <w:right w:val="none" w:sz="0" w:space="0" w:color="auto"/>
      </w:divBdr>
    </w:div>
    <w:div w:id="1466266890">
      <w:bodyDiv w:val="1"/>
      <w:marLeft w:val="0"/>
      <w:marRight w:val="0"/>
      <w:marTop w:val="0"/>
      <w:marBottom w:val="0"/>
      <w:divBdr>
        <w:top w:val="none" w:sz="0" w:space="0" w:color="auto"/>
        <w:left w:val="none" w:sz="0" w:space="0" w:color="auto"/>
        <w:bottom w:val="none" w:sz="0" w:space="0" w:color="auto"/>
        <w:right w:val="none" w:sz="0" w:space="0" w:color="auto"/>
      </w:divBdr>
    </w:div>
    <w:div w:id="1476214810">
      <w:bodyDiv w:val="1"/>
      <w:marLeft w:val="0"/>
      <w:marRight w:val="0"/>
      <w:marTop w:val="0"/>
      <w:marBottom w:val="0"/>
      <w:divBdr>
        <w:top w:val="none" w:sz="0" w:space="0" w:color="auto"/>
        <w:left w:val="none" w:sz="0" w:space="0" w:color="auto"/>
        <w:bottom w:val="none" w:sz="0" w:space="0" w:color="auto"/>
        <w:right w:val="none" w:sz="0" w:space="0" w:color="auto"/>
      </w:divBdr>
    </w:div>
    <w:div w:id="1491483444">
      <w:bodyDiv w:val="1"/>
      <w:marLeft w:val="0"/>
      <w:marRight w:val="0"/>
      <w:marTop w:val="0"/>
      <w:marBottom w:val="0"/>
      <w:divBdr>
        <w:top w:val="none" w:sz="0" w:space="0" w:color="auto"/>
        <w:left w:val="none" w:sz="0" w:space="0" w:color="auto"/>
        <w:bottom w:val="none" w:sz="0" w:space="0" w:color="auto"/>
        <w:right w:val="none" w:sz="0" w:space="0" w:color="auto"/>
      </w:divBdr>
    </w:div>
    <w:div w:id="1494448856">
      <w:bodyDiv w:val="1"/>
      <w:marLeft w:val="0"/>
      <w:marRight w:val="0"/>
      <w:marTop w:val="0"/>
      <w:marBottom w:val="0"/>
      <w:divBdr>
        <w:top w:val="none" w:sz="0" w:space="0" w:color="auto"/>
        <w:left w:val="none" w:sz="0" w:space="0" w:color="auto"/>
        <w:bottom w:val="none" w:sz="0" w:space="0" w:color="auto"/>
        <w:right w:val="none" w:sz="0" w:space="0" w:color="auto"/>
      </w:divBdr>
    </w:div>
    <w:div w:id="1496068121">
      <w:bodyDiv w:val="1"/>
      <w:marLeft w:val="0"/>
      <w:marRight w:val="0"/>
      <w:marTop w:val="0"/>
      <w:marBottom w:val="0"/>
      <w:divBdr>
        <w:top w:val="none" w:sz="0" w:space="0" w:color="auto"/>
        <w:left w:val="none" w:sz="0" w:space="0" w:color="auto"/>
        <w:bottom w:val="none" w:sz="0" w:space="0" w:color="auto"/>
        <w:right w:val="none" w:sz="0" w:space="0" w:color="auto"/>
      </w:divBdr>
    </w:div>
    <w:div w:id="1498181584">
      <w:bodyDiv w:val="1"/>
      <w:marLeft w:val="0"/>
      <w:marRight w:val="0"/>
      <w:marTop w:val="0"/>
      <w:marBottom w:val="0"/>
      <w:divBdr>
        <w:top w:val="none" w:sz="0" w:space="0" w:color="auto"/>
        <w:left w:val="none" w:sz="0" w:space="0" w:color="auto"/>
        <w:bottom w:val="none" w:sz="0" w:space="0" w:color="auto"/>
        <w:right w:val="none" w:sz="0" w:space="0" w:color="auto"/>
      </w:divBdr>
    </w:div>
    <w:div w:id="1509252818">
      <w:bodyDiv w:val="1"/>
      <w:marLeft w:val="0"/>
      <w:marRight w:val="0"/>
      <w:marTop w:val="0"/>
      <w:marBottom w:val="0"/>
      <w:divBdr>
        <w:top w:val="none" w:sz="0" w:space="0" w:color="auto"/>
        <w:left w:val="none" w:sz="0" w:space="0" w:color="auto"/>
        <w:bottom w:val="none" w:sz="0" w:space="0" w:color="auto"/>
        <w:right w:val="none" w:sz="0" w:space="0" w:color="auto"/>
      </w:divBdr>
    </w:div>
    <w:div w:id="1532962578">
      <w:bodyDiv w:val="1"/>
      <w:marLeft w:val="0"/>
      <w:marRight w:val="0"/>
      <w:marTop w:val="0"/>
      <w:marBottom w:val="0"/>
      <w:divBdr>
        <w:top w:val="none" w:sz="0" w:space="0" w:color="auto"/>
        <w:left w:val="none" w:sz="0" w:space="0" w:color="auto"/>
        <w:bottom w:val="none" w:sz="0" w:space="0" w:color="auto"/>
        <w:right w:val="none" w:sz="0" w:space="0" w:color="auto"/>
      </w:divBdr>
    </w:div>
    <w:div w:id="1538279466">
      <w:bodyDiv w:val="1"/>
      <w:marLeft w:val="0"/>
      <w:marRight w:val="0"/>
      <w:marTop w:val="0"/>
      <w:marBottom w:val="0"/>
      <w:divBdr>
        <w:top w:val="none" w:sz="0" w:space="0" w:color="auto"/>
        <w:left w:val="none" w:sz="0" w:space="0" w:color="auto"/>
        <w:bottom w:val="none" w:sz="0" w:space="0" w:color="auto"/>
        <w:right w:val="none" w:sz="0" w:space="0" w:color="auto"/>
      </w:divBdr>
    </w:div>
    <w:div w:id="1545218219">
      <w:bodyDiv w:val="1"/>
      <w:marLeft w:val="0"/>
      <w:marRight w:val="0"/>
      <w:marTop w:val="0"/>
      <w:marBottom w:val="0"/>
      <w:divBdr>
        <w:top w:val="none" w:sz="0" w:space="0" w:color="auto"/>
        <w:left w:val="none" w:sz="0" w:space="0" w:color="auto"/>
        <w:bottom w:val="none" w:sz="0" w:space="0" w:color="auto"/>
        <w:right w:val="none" w:sz="0" w:space="0" w:color="auto"/>
      </w:divBdr>
    </w:div>
    <w:div w:id="1549301224">
      <w:bodyDiv w:val="1"/>
      <w:marLeft w:val="0"/>
      <w:marRight w:val="0"/>
      <w:marTop w:val="0"/>
      <w:marBottom w:val="0"/>
      <w:divBdr>
        <w:top w:val="none" w:sz="0" w:space="0" w:color="auto"/>
        <w:left w:val="none" w:sz="0" w:space="0" w:color="auto"/>
        <w:bottom w:val="none" w:sz="0" w:space="0" w:color="auto"/>
        <w:right w:val="none" w:sz="0" w:space="0" w:color="auto"/>
      </w:divBdr>
    </w:div>
    <w:div w:id="1554609818">
      <w:bodyDiv w:val="1"/>
      <w:marLeft w:val="0"/>
      <w:marRight w:val="0"/>
      <w:marTop w:val="0"/>
      <w:marBottom w:val="0"/>
      <w:divBdr>
        <w:top w:val="none" w:sz="0" w:space="0" w:color="auto"/>
        <w:left w:val="none" w:sz="0" w:space="0" w:color="auto"/>
        <w:bottom w:val="none" w:sz="0" w:space="0" w:color="auto"/>
        <w:right w:val="none" w:sz="0" w:space="0" w:color="auto"/>
      </w:divBdr>
    </w:div>
    <w:div w:id="1554609876">
      <w:bodyDiv w:val="1"/>
      <w:marLeft w:val="0"/>
      <w:marRight w:val="0"/>
      <w:marTop w:val="0"/>
      <w:marBottom w:val="0"/>
      <w:divBdr>
        <w:top w:val="none" w:sz="0" w:space="0" w:color="auto"/>
        <w:left w:val="none" w:sz="0" w:space="0" w:color="auto"/>
        <w:bottom w:val="none" w:sz="0" w:space="0" w:color="auto"/>
        <w:right w:val="none" w:sz="0" w:space="0" w:color="auto"/>
      </w:divBdr>
    </w:div>
    <w:div w:id="1556697723">
      <w:bodyDiv w:val="1"/>
      <w:marLeft w:val="0"/>
      <w:marRight w:val="0"/>
      <w:marTop w:val="0"/>
      <w:marBottom w:val="0"/>
      <w:divBdr>
        <w:top w:val="none" w:sz="0" w:space="0" w:color="auto"/>
        <w:left w:val="none" w:sz="0" w:space="0" w:color="auto"/>
        <w:bottom w:val="none" w:sz="0" w:space="0" w:color="auto"/>
        <w:right w:val="none" w:sz="0" w:space="0" w:color="auto"/>
      </w:divBdr>
    </w:div>
    <w:div w:id="1572933785">
      <w:bodyDiv w:val="1"/>
      <w:marLeft w:val="0"/>
      <w:marRight w:val="0"/>
      <w:marTop w:val="0"/>
      <w:marBottom w:val="0"/>
      <w:divBdr>
        <w:top w:val="none" w:sz="0" w:space="0" w:color="auto"/>
        <w:left w:val="none" w:sz="0" w:space="0" w:color="auto"/>
        <w:bottom w:val="none" w:sz="0" w:space="0" w:color="auto"/>
        <w:right w:val="none" w:sz="0" w:space="0" w:color="auto"/>
      </w:divBdr>
    </w:div>
    <w:div w:id="1590382538">
      <w:bodyDiv w:val="1"/>
      <w:marLeft w:val="0"/>
      <w:marRight w:val="0"/>
      <w:marTop w:val="0"/>
      <w:marBottom w:val="0"/>
      <w:divBdr>
        <w:top w:val="none" w:sz="0" w:space="0" w:color="auto"/>
        <w:left w:val="none" w:sz="0" w:space="0" w:color="auto"/>
        <w:bottom w:val="none" w:sz="0" w:space="0" w:color="auto"/>
        <w:right w:val="none" w:sz="0" w:space="0" w:color="auto"/>
      </w:divBdr>
    </w:div>
    <w:div w:id="1593780298">
      <w:bodyDiv w:val="1"/>
      <w:marLeft w:val="0"/>
      <w:marRight w:val="0"/>
      <w:marTop w:val="0"/>
      <w:marBottom w:val="0"/>
      <w:divBdr>
        <w:top w:val="none" w:sz="0" w:space="0" w:color="auto"/>
        <w:left w:val="none" w:sz="0" w:space="0" w:color="auto"/>
        <w:bottom w:val="none" w:sz="0" w:space="0" w:color="auto"/>
        <w:right w:val="none" w:sz="0" w:space="0" w:color="auto"/>
      </w:divBdr>
    </w:div>
    <w:div w:id="1635257780">
      <w:bodyDiv w:val="1"/>
      <w:marLeft w:val="0"/>
      <w:marRight w:val="0"/>
      <w:marTop w:val="0"/>
      <w:marBottom w:val="0"/>
      <w:divBdr>
        <w:top w:val="none" w:sz="0" w:space="0" w:color="auto"/>
        <w:left w:val="none" w:sz="0" w:space="0" w:color="auto"/>
        <w:bottom w:val="none" w:sz="0" w:space="0" w:color="auto"/>
        <w:right w:val="none" w:sz="0" w:space="0" w:color="auto"/>
      </w:divBdr>
    </w:div>
    <w:div w:id="1644852920">
      <w:bodyDiv w:val="1"/>
      <w:marLeft w:val="0"/>
      <w:marRight w:val="0"/>
      <w:marTop w:val="0"/>
      <w:marBottom w:val="0"/>
      <w:divBdr>
        <w:top w:val="none" w:sz="0" w:space="0" w:color="auto"/>
        <w:left w:val="none" w:sz="0" w:space="0" w:color="auto"/>
        <w:bottom w:val="none" w:sz="0" w:space="0" w:color="auto"/>
        <w:right w:val="none" w:sz="0" w:space="0" w:color="auto"/>
      </w:divBdr>
    </w:div>
    <w:div w:id="1647202568">
      <w:bodyDiv w:val="1"/>
      <w:marLeft w:val="0"/>
      <w:marRight w:val="0"/>
      <w:marTop w:val="0"/>
      <w:marBottom w:val="0"/>
      <w:divBdr>
        <w:top w:val="none" w:sz="0" w:space="0" w:color="auto"/>
        <w:left w:val="none" w:sz="0" w:space="0" w:color="auto"/>
        <w:bottom w:val="none" w:sz="0" w:space="0" w:color="auto"/>
        <w:right w:val="none" w:sz="0" w:space="0" w:color="auto"/>
      </w:divBdr>
    </w:div>
    <w:div w:id="1650283722">
      <w:bodyDiv w:val="1"/>
      <w:marLeft w:val="0"/>
      <w:marRight w:val="0"/>
      <w:marTop w:val="0"/>
      <w:marBottom w:val="0"/>
      <w:divBdr>
        <w:top w:val="none" w:sz="0" w:space="0" w:color="auto"/>
        <w:left w:val="none" w:sz="0" w:space="0" w:color="auto"/>
        <w:bottom w:val="none" w:sz="0" w:space="0" w:color="auto"/>
        <w:right w:val="none" w:sz="0" w:space="0" w:color="auto"/>
      </w:divBdr>
      <w:divsChild>
        <w:div w:id="858616919">
          <w:marLeft w:val="0"/>
          <w:marRight w:val="0"/>
          <w:marTop w:val="0"/>
          <w:marBottom w:val="0"/>
          <w:divBdr>
            <w:top w:val="none" w:sz="0" w:space="0" w:color="auto"/>
            <w:left w:val="none" w:sz="0" w:space="0" w:color="auto"/>
            <w:bottom w:val="none" w:sz="0" w:space="0" w:color="auto"/>
            <w:right w:val="none" w:sz="0" w:space="0" w:color="auto"/>
          </w:divBdr>
          <w:divsChild>
            <w:div w:id="694576810">
              <w:marLeft w:val="0"/>
              <w:marRight w:val="0"/>
              <w:marTop w:val="0"/>
              <w:marBottom w:val="0"/>
              <w:divBdr>
                <w:top w:val="none" w:sz="0" w:space="0" w:color="auto"/>
                <w:left w:val="none" w:sz="0" w:space="0" w:color="auto"/>
                <w:bottom w:val="none" w:sz="0" w:space="0" w:color="auto"/>
                <w:right w:val="none" w:sz="0" w:space="0" w:color="auto"/>
              </w:divBdr>
              <w:divsChild>
                <w:div w:id="640889780">
                  <w:marLeft w:val="0"/>
                  <w:marRight w:val="0"/>
                  <w:marTop w:val="0"/>
                  <w:marBottom w:val="0"/>
                  <w:divBdr>
                    <w:top w:val="none" w:sz="0" w:space="0" w:color="auto"/>
                    <w:left w:val="none" w:sz="0" w:space="0" w:color="auto"/>
                    <w:bottom w:val="none" w:sz="0" w:space="0" w:color="auto"/>
                    <w:right w:val="none" w:sz="0" w:space="0" w:color="auto"/>
                  </w:divBdr>
                  <w:divsChild>
                    <w:div w:id="56899752">
                      <w:marLeft w:val="0"/>
                      <w:marRight w:val="0"/>
                      <w:marTop w:val="0"/>
                      <w:marBottom w:val="0"/>
                      <w:divBdr>
                        <w:top w:val="none" w:sz="0" w:space="0" w:color="auto"/>
                        <w:left w:val="none" w:sz="0" w:space="0" w:color="auto"/>
                        <w:bottom w:val="none" w:sz="0" w:space="0" w:color="auto"/>
                        <w:right w:val="none" w:sz="0" w:space="0" w:color="auto"/>
                      </w:divBdr>
                      <w:divsChild>
                        <w:div w:id="1171335077">
                          <w:marLeft w:val="0"/>
                          <w:marRight w:val="0"/>
                          <w:marTop w:val="0"/>
                          <w:marBottom w:val="0"/>
                          <w:divBdr>
                            <w:top w:val="none" w:sz="0" w:space="0" w:color="auto"/>
                            <w:left w:val="none" w:sz="0" w:space="0" w:color="auto"/>
                            <w:bottom w:val="none" w:sz="0" w:space="0" w:color="auto"/>
                            <w:right w:val="none" w:sz="0" w:space="0" w:color="auto"/>
                          </w:divBdr>
                          <w:divsChild>
                            <w:div w:id="5744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757883">
      <w:bodyDiv w:val="1"/>
      <w:marLeft w:val="0"/>
      <w:marRight w:val="0"/>
      <w:marTop w:val="0"/>
      <w:marBottom w:val="0"/>
      <w:divBdr>
        <w:top w:val="none" w:sz="0" w:space="0" w:color="auto"/>
        <w:left w:val="none" w:sz="0" w:space="0" w:color="auto"/>
        <w:bottom w:val="none" w:sz="0" w:space="0" w:color="auto"/>
        <w:right w:val="none" w:sz="0" w:space="0" w:color="auto"/>
      </w:divBdr>
    </w:div>
    <w:div w:id="1676565712">
      <w:bodyDiv w:val="1"/>
      <w:marLeft w:val="0"/>
      <w:marRight w:val="0"/>
      <w:marTop w:val="0"/>
      <w:marBottom w:val="0"/>
      <w:divBdr>
        <w:top w:val="none" w:sz="0" w:space="0" w:color="auto"/>
        <w:left w:val="none" w:sz="0" w:space="0" w:color="auto"/>
        <w:bottom w:val="none" w:sz="0" w:space="0" w:color="auto"/>
        <w:right w:val="none" w:sz="0" w:space="0" w:color="auto"/>
      </w:divBdr>
    </w:div>
    <w:div w:id="1681665264">
      <w:bodyDiv w:val="1"/>
      <w:marLeft w:val="0"/>
      <w:marRight w:val="0"/>
      <w:marTop w:val="0"/>
      <w:marBottom w:val="0"/>
      <w:divBdr>
        <w:top w:val="none" w:sz="0" w:space="0" w:color="auto"/>
        <w:left w:val="none" w:sz="0" w:space="0" w:color="auto"/>
        <w:bottom w:val="none" w:sz="0" w:space="0" w:color="auto"/>
        <w:right w:val="none" w:sz="0" w:space="0" w:color="auto"/>
      </w:divBdr>
    </w:div>
    <w:div w:id="1699551778">
      <w:bodyDiv w:val="1"/>
      <w:marLeft w:val="0"/>
      <w:marRight w:val="0"/>
      <w:marTop w:val="0"/>
      <w:marBottom w:val="0"/>
      <w:divBdr>
        <w:top w:val="none" w:sz="0" w:space="0" w:color="auto"/>
        <w:left w:val="none" w:sz="0" w:space="0" w:color="auto"/>
        <w:bottom w:val="none" w:sz="0" w:space="0" w:color="auto"/>
        <w:right w:val="none" w:sz="0" w:space="0" w:color="auto"/>
      </w:divBdr>
    </w:div>
    <w:div w:id="1745761988">
      <w:bodyDiv w:val="1"/>
      <w:marLeft w:val="0"/>
      <w:marRight w:val="0"/>
      <w:marTop w:val="0"/>
      <w:marBottom w:val="0"/>
      <w:divBdr>
        <w:top w:val="none" w:sz="0" w:space="0" w:color="auto"/>
        <w:left w:val="none" w:sz="0" w:space="0" w:color="auto"/>
        <w:bottom w:val="none" w:sz="0" w:space="0" w:color="auto"/>
        <w:right w:val="none" w:sz="0" w:space="0" w:color="auto"/>
      </w:divBdr>
    </w:div>
    <w:div w:id="1778866954">
      <w:bodyDiv w:val="1"/>
      <w:marLeft w:val="0"/>
      <w:marRight w:val="0"/>
      <w:marTop w:val="0"/>
      <w:marBottom w:val="0"/>
      <w:divBdr>
        <w:top w:val="none" w:sz="0" w:space="0" w:color="auto"/>
        <w:left w:val="none" w:sz="0" w:space="0" w:color="auto"/>
        <w:bottom w:val="none" w:sz="0" w:space="0" w:color="auto"/>
        <w:right w:val="none" w:sz="0" w:space="0" w:color="auto"/>
      </w:divBdr>
    </w:div>
    <w:div w:id="1790586870">
      <w:bodyDiv w:val="1"/>
      <w:marLeft w:val="0"/>
      <w:marRight w:val="0"/>
      <w:marTop w:val="0"/>
      <w:marBottom w:val="0"/>
      <w:divBdr>
        <w:top w:val="none" w:sz="0" w:space="0" w:color="auto"/>
        <w:left w:val="none" w:sz="0" w:space="0" w:color="auto"/>
        <w:bottom w:val="none" w:sz="0" w:space="0" w:color="auto"/>
        <w:right w:val="none" w:sz="0" w:space="0" w:color="auto"/>
      </w:divBdr>
    </w:div>
    <w:div w:id="1806970721">
      <w:bodyDiv w:val="1"/>
      <w:marLeft w:val="0"/>
      <w:marRight w:val="0"/>
      <w:marTop w:val="0"/>
      <w:marBottom w:val="0"/>
      <w:divBdr>
        <w:top w:val="none" w:sz="0" w:space="0" w:color="auto"/>
        <w:left w:val="none" w:sz="0" w:space="0" w:color="auto"/>
        <w:bottom w:val="none" w:sz="0" w:space="0" w:color="auto"/>
        <w:right w:val="none" w:sz="0" w:space="0" w:color="auto"/>
      </w:divBdr>
    </w:div>
    <w:div w:id="1811093611">
      <w:bodyDiv w:val="1"/>
      <w:marLeft w:val="0"/>
      <w:marRight w:val="0"/>
      <w:marTop w:val="0"/>
      <w:marBottom w:val="0"/>
      <w:divBdr>
        <w:top w:val="none" w:sz="0" w:space="0" w:color="auto"/>
        <w:left w:val="none" w:sz="0" w:space="0" w:color="auto"/>
        <w:bottom w:val="none" w:sz="0" w:space="0" w:color="auto"/>
        <w:right w:val="none" w:sz="0" w:space="0" w:color="auto"/>
      </w:divBdr>
    </w:div>
    <w:div w:id="1818721872">
      <w:bodyDiv w:val="1"/>
      <w:marLeft w:val="0"/>
      <w:marRight w:val="0"/>
      <w:marTop w:val="0"/>
      <w:marBottom w:val="0"/>
      <w:divBdr>
        <w:top w:val="none" w:sz="0" w:space="0" w:color="auto"/>
        <w:left w:val="none" w:sz="0" w:space="0" w:color="auto"/>
        <w:bottom w:val="none" w:sz="0" w:space="0" w:color="auto"/>
        <w:right w:val="none" w:sz="0" w:space="0" w:color="auto"/>
      </w:divBdr>
      <w:divsChild>
        <w:div w:id="1044526877">
          <w:marLeft w:val="0"/>
          <w:marRight w:val="0"/>
          <w:marTop w:val="0"/>
          <w:marBottom w:val="0"/>
          <w:divBdr>
            <w:top w:val="none" w:sz="0" w:space="0" w:color="auto"/>
            <w:left w:val="none" w:sz="0" w:space="0" w:color="auto"/>
            <w:bottom w:val="none" w:sz="0" w:space="0" w:color="auto"/>
            <w:right w:val="none" w:sz="0" w:space="0" w:color="auto"/>
          </w:divBdr>
          <w:divsChild>
            <w:div w:id="710106303">
              <w:marLeft w:val="0"/>
              <w:marRight w:val="0"/>
              <w:marTop w:val="0"/>
              <w:marBottom w:val="0"/>
              <w:divBdr>
                <w:top w:val="none" w:sz="0" w:space="0" w:color="auto"/>
                <w:left w:val="none" w:sz="0" w:space="0" w:color="auto"/>
                <w:bottom w:val="none" w:sz="0" w:space="0" w:color="auto"/>
                <w:right w:val="none" w:sz="0" w:space="0" w:color="auto"/>
              </w:divBdr>
              <w:divsChild>
                <w:div w:id="844367210">
                  <w:marLeft w:val="0"/>
                  <w:marRight w:val="0"/>
                  <w:marTop w:val="0"/>
                  <w:marBottom w:val="0"/>
                  <w:divBdr>
                    <w:top w:val="none" w:sz="0" w:space="0" w:color="auto"/>
                    <w:left w:val="none" w:sz="0" w:space="0" w:color="auto"/>
                    <w:bottom w:val="none" w:sz="0" w:space="0" w:color="auto"/>
                    <w:right w:val="none" w:sz="0" w:space="0" w:color="auto"/>
                  </w:divBdr>
                  <w:divsChild>
                    <w:div w:id="680160762">
                      <w:marLeft w:val="0"/>
                      <w:marRight w:val="0"/>
                      <w:marTop w:val="0"/>
                      <w:marBottom w:val="0"/>
                      <w:divBdr>
                        <w:top w:val="none" w:sz="0" w:space="0" w:color="auto"/>
                        <w:left w:val="none" w:sz="0" w:space="0" w:color="auto"/>
                        <w:bottom w:val="none" w:sz="0" w:space="0" w:color="auto"/>
                        <w:right w:val="none" w:sz="0" w:space="0" w:color="auto"/>
                      </w:divBdr>
                      <w:divsChild>
                        <w:div w:id="1800606601">
                          <w:marLeft w:val="0"/>
                          <w:marRight w:val="0"/>
                          <w:marTop w:val="0"/>
                          <w:marBottom w:val="0"/>
                          <w:divBdr>
                            <w:top w:val="none" w:sz="0" w:space="0" w:color="auto"/>
                            <w:left w:val="none" w:sz="0" w:space="0" w:color="auto"/>
                            <w:bottom w:val="none" w:sz="0" w:space="0" w:color="auto"/>
                            <w:right w:val="none" w:sz="0" w:space="0" w:color="auto"/>
                          </w:divBdr>
                          <w:divsChild>
                            <w:div w:id="1951160029">
                              <w:marLeft w:val="0"/>
                              <w:marRight w:val="0"/>
                              <w:marTop w:val="0"/>
                              <w:marBottom w:val="0"/>
                              <w:divBdr>
                                <w:top w:val="none" w:sz="0" w:space="0" w:color="auto"/>
                                <w:left w:val="none" w:sz="0" w:space="0" w:color="auto"/>
                                <w:bottom w:val="none" w:sz="0" w:space="0" w:color="auto"/>
                                <w:right w:val="none" w:sz="0" w:space="0" w:color="auto"/>
                              </w:divBdr>
                              <w:divsChild>
                                <w:div w:id="1943998108">
                                  <w:marLeft w:val="0"/>
                                  <w:marRight w:val="0"/>
                                  <w:marTop w:val="0"/>
                                  <w:marBottom w:val="0"/>
                                  <w:divBdr>
                                    <w:top w:val="none" w:sz="0" w:space="0" w:color="auto"/>
                                    <w:left w:val="none" w:sz="0" w:space="0" w:color="auto"/>
                                    <w:bottom w:val="none" w:sz="0" w:space="0" w:color="auto"/>
                                    <w:right w:val="none" w:sz="0" w:space="0" w:color="auto"/>
                                  </w:divBdr>
                                  <w:divsChild>
                                    <w:div w:id="18923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6917">
                          <w:marLeft w:val="0"/>
                          <w:marRight w:val="0"/>
                          <w:marTop w:val="0"/>
                          <w:marBottom w:val="0"/>
                          <w:divBdr>
                            <w:top w:val="none" w:sz="0" w:space="0" w:color="auto"/>
                            <w:left w:val="none" w:sz="0" w:space="0" w:color="auto"/>
                            <w:bottom w:val="none" w:sz="0" w:space="0" w:color="auto"/>
                            <w:right w:val="none" w:sz="0" w:space="0" w:color="auto"/>
                          </w:divBdr>
                          <w:divsChild>
                            <w:div w:id="1354694711">
                              <w:marLeft w:val="0"/>
                              <w:marRight w:val="0"/>
                              <w:marTop w:val="0"/>
                              <w:marBottom w:val="0"/>
                              <w:divBdr>
                                <w:top w:val="none" w:sz="0" w:space="0" w:color="auto"/>
                                <w:left w:val="none" w:sz="0" w:space="0" w:color="auto"/>
                                <w:bottom w:val="none" w:sz="0" w:space="0" w:color="auto"/>
                                <w:right w:val="none" w:sz="0" w:space="0" w:color="auto"/>
                              </w:divBdr>
                              <w:divsChild>
                                <w:div w:id="1728914133">
                                  <w:marLeft w:val="0"/>
                                  <w:marRight w:val="0"/>
                                  <w:marTop w:val="0"/>
                                  <w:marBottom w:val="0"/>
                                  <w:divBdr>
                                    <w:top w:val="none" w:sz="0" w:space="0" w:color="auto"/>
                                    <w:left w:val="none" w:sz="0" w:space="0" w:color="auto"/>
                                    <w:bottom w:val="none" w:sz="0" w:space="0" w:color="auto"/>
                                    <w:right w:val="none" w:sz="0" w:space="0" w:color="auto"/>
                                  </w:divBdr>
                                  <w:divsChild>
                                    <w:div w:id="17902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329837">
          <w:marLeft w:val="0"/>
          <w:marRight w:val="0"/>
          <w:marTop w:val="0"/>
          <w:marBottom w:val="0"/>
          <w:divBdr>
            <w:top w:val="none" w:sz="0" w:space="0" w:color="auto"/>
            <w:left w:val="none" w:sz="0" w:space="0" w:color="auto"/>
            <w:bottom w:val="none" w:sz="0" w:space="0" w:color="auto"/>
            <w:right w:val="none" w:sz="0" w:space="0" w:color="auto"/>
          </w:divBdr>
          <w:divsChild>
            <w:div w:id="1828323995">
              <w:marLeft w:val="0"/>
              <w:marRight w:val="0"/>
              <w:marTop w:val="0"/>
              <w:marBottom w:val="0"/>
              <w:divBdr>
                <w:top w:val="none" w:sz="0" w:space="0" w:color="auto"/>
                <w:left w:val="none" w:sz="0" w:space="0" w:color="auto"/>
                <w:bottom w:val="none" w:sz="0" w:space="0" w:color="auto"/>
                <w:right w:val="none" w:sz="0" w:space="0" w:color="auto"/>
              </w:divBdr>
              <w:divsChild>
                <w:div w:id="368605462">
                  <w:marLeft w:val="0"/>
                  <w:marRight w:val="0"/>
                  <w:marTop w:val="0"/>
                  <w:marBottom w:val="0"/>
                  <w:divBdr>
                    <w:top w:val="none" w:sz="0" w:space="0" w:color="auto"/>
                    <w:left w:val="none" w:sz="0" w:space="0" w:color="auto"/>
                    <w:bottom w:val="none" w:sz="0" w:space="0" w:color="auto"/>
                    <w:right w:val="none" w:sz="0" w:space="0" w:color="auto"/>
                  </w:divBdr>
                  <w:divsChild>
                    <w:div w:id="69082318">
                      <w:marLeft w:val="0"/>
                      <w:marRight w:val="0"/>
                      <w:marTop w:val="0"/>
                      <w:marBottom w:val="0"/>
                      <w:divBdr>
                        <w:top w:val="none" w:sz="0" w:space="0" w:color="auto"/>
                        <w:left w:val="none" w:sz="0" w:space="0" w:color="auto"/>
                        <w:bottom w:val="none" w:sz="0" w:space="0" w:color="auto"/>
                        <w:right w:val="none" w:sz="0" w:space="0" w:color="auto"/>
                      </w:divBdr>
                      <w:divsChild>
                        <w:div w:id="1049838780">
                          <w:marLeft w:val="0"/>
                          <w:marRight w:val="0"/>
                          <w:marTop w:val="0"/>
                          <w:marBottom w:val="0"/>
                          <w:divBdr>
                            <w:top w:val="none" w:sz="0" w:space="0" w:color="auto"/>
                            <w:left w:val="none" w:sz="0" w:space="0" w:color="auto"/>
                            <w:bottom w:val="none" w:sz="0" w:space="0" w:color="auto"/>
                            <w:right w:val="none" w:sz="0" w:space="0" w:color="auto"/>
                          </w:divBdr>
                          <w:divsChild>
                            <w:div w:id="1687900284">
                              <w:marLeft w:val="0"/>
                              <w:marRight w:val="0"/>
                              <w:marTop w:val="0"/>
                              <w:marBottom w:val="0"/>
                              <w:divBdr>
                                <w:top w:val="none" w:sz="0" w:space="0" w:color="auto"/>
                                <w:left w:val="none" w:sz="0" w:space="0" w:color="auto"/>
                                <w:bottom w:val="none" w:sz="0" w:space="0" w:color="auto"/>
                                <w:right w:val="none" w:sz="0" w:space="0" w:color="auto"/>
                              </w:divBdr>
                              <w:divsChild>
                                <w:div w:id="365763955">
                                  <w:marLeft w:val="0"/>
                                  <w:marRight w:val="0"/>
                                  <w:marTop w:val="0"/>
                                  <w:marBottom w:val="0"/>
                                  <w:divBdr>
                                    <w:top w:val="none" w:sz="0" w:space="0" w:color="auto"/>
                                    <w:left w:val="none" w:sz="0" w:space="0" w:color="auto"/>
                                    <w:bottom w:val="none" w:sz="0" w:space="0" w:color="auto"/>
                                    <w:right w:val="none" w:sz="0" w:space="0" w:color="auto"/>
                                  </w:divBdr>
                                  <w:divsChild>
                                    <w:div w:id="787361599">
                                      <w:marLeft w:val="0"/>
                                      <w:marRight w:val="0"/>
                                      <w:marTop w:val="0"/>
                                      <w:marBottom w:val="0"/>
                                      <w:divBdr>
                                        <w:top w:val="none" w:sz="0" w:space="0" w:color="auto"/>
                                        <w:left w:val="none" w:sz="0" w:space="0" w:color="auto"/>
                                        <w:bottom w:val="none" w:sz="0" w:space="0" w:color="auto"/>
                                        <w:right w:val="none" w:sz="0" w:space="0" w:color="auto"/>
                                      </w:divBdr>
                                      <w:divsChild>
                                        <w:div w:id="20901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484120">
          <w:marLeft w:val="0"/>
          <w:marRight w:val="0"/>
          <w:marTop w:val="0"/>
          <w:marBottom w:val="0"/>
          <w:divBdr>
            <w:top w:val="none" w:sz="0" w:space="0" w:color="auto"/>
            <w:left w:val="none" w:sz="0" w:space="0" w:color="auto"/>
            <w:bottom w:val="none" w:sz="0" w:space="0" w:color="auto"/>
            <w:right w:val="none" w:sz="0" w:space="0" w:color="auto"/>
          </w:divBdr>
          <w:divsChild>
            <w:div w:id="1946493392">
              <w:marLeft w:val="0"/>
              <w:marRight w:val="0"/>
              <w:marTop w:val="0"/>
              <w:marBottom w:val="0"/>
              <w:divBdr>
                <w:top w:val="none" w:sz="0" w:space="0" w:color="auto"/>
                <w:left w:val="none" w:sz="0" w:space="0" w:color="auto"/>
                <w:bottom w:val="none" w:sz="0" w:space="0" w:color="auto"/>
                <w:right w:val="none" w:sz="0" w:space="0" w:color="auto"/>
              </w:divBdr>
              <w:divsChild>
                <w:div w:id="1840585456">
                  <w:marLeft w:val="0"/>
                  <w:marRight w:val="0"/>
                  <w:marTop w:val="0"/>
                  <w:marBottom w:val="0"/>
                  <w:divBdr>
                    <w:top w:val="none" w:sz="0" w:space="0" w:color="auto"/>
                    <w:left w:val="none" w:sz="0" w:space="0" w:color="auto"/>
                    <w:bottom w:val="none" w:sz="0" w:space="0" w:color="auto"/>
                    <w:right w:val="none" w:sz="0" w:space="0" w:color="auto"/>
                  </w:divBdr>
                  <w:divsChild>
                    <w:div w:id="1672567944">
                      <w:marLeft w:val="0"/>
                      <w:marRight w:val="0"/>
                      <w:marTop w:val="0"/>
                      <w:marBottom w:val="0"/>
                      <w:divBdr>
                        <w:top w:val="none" w:sz="0" w:space="0" w:color="auto"/>
                        <w:left w:val="none" w:sz="0" w:space="0" w:color="auto"/>
                        <w:bottom w:val="none" w:sz="0" w:space="0" w:color="auto"/>
                        <w:right w:val="none" w:sz="0" w:space="0" w:color="auto"/>
                      </w:divBdr>
                      <w:divsChild>
                        <w:div w:id="1030256087">
                          <w:marLeft w:val="0"/>
                          <w:marRight w:val="0"/>
                          <w:marTop w:val="0"/>
                          <w:marBottom w:val="0"/>
                          <w:divBdr>
                            <w:top w:val="none" w:sz="0" w:space="0" w:color="auto"/>
                            <w:left w:val="none" w:sz="0" w:space="0" w:color="auto"/>
                            <w:bottom w:val="none" w:sz="0" w:space="0" w:color="auto"/>
                            <w:right w:val="none" w:sz="0" w:space="0" w:color="auto"/>
                          </w:divBdr>
                          <w:divsChild>
                            <w:div w:id="1763338903">
                              <w:marLeft w:val="0"/>
                              <w:marRight w:val="0"/>
                              <w:marTop w:val="0"/>
                              <w:marBottom w:val="0"/>
                              <w:divBdr>
                                <w:top w:val="none" w:sz="0" w:space="0" w:color="auto"/>
                                <w:left w:val="none" w:sz="0" w:space="0" w:color="auto"/>
                                <w:bottom w:val="none" w:sz="0" w:space="0" w:color="auto"/>
                                <w:right w:val="none" w:sz="0" w:space="0" w:color="auto"/>
                              </w:divBdr>
                              <w:divsChild>
                                <w:div w:id="13037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4565">
                  <w:marLeft w:val="0"/>
                  <w:marRight w:val="0"/>
                  <w:marTop w:val="0"/>
                  <w:marBottom w:val="0"/>
                  <w:divBdr>
                    <w:top w:val="none" w:sz="0" w:space="0" w:color="auto"/>
                    <w:left w:val="none" w:sz="0" w:space="0" w:color="auto"/>
                    <w:bottom w:val="none" w:sz="0" w:space="0" w:color="auto"/>
                    <w:right w:val="none" w:sz="0" w:space="0" w:color="auto"/>
                  </w:divBdr>
                  <w:divsChild>
                    <w:div w:id="492454844">
                      <w:marLeft w:val="0"/>
                      <w:marRight w:val="0"/>
                      <w:marTop w:val="0"/>
                      <w:marBottom w:val="0"/>
                      <w:divBdr>
                        <w:top w:val="none" w:sz="0" w:space="0" w:color="auto"/>
                        <w:left w:val="none" w:sz="0" w:space="0" w:color="auto"/>
                        <w:bottom w:val="none" w:sz="0" w:space="0" w:color="auto"/>
                        <w:right w:val="none" w:sz="0" w:space="0" w:color="auto"/>
                      </w:divBdr>
                      <w:divsChild>
                        <w:div w:id="1872494986">
                          <w:marLeft w:val="0"/>
                          <w:marRight w:val="0"/>
                          <w:marTop w:val="0"/>
                          <w:marBottom w:val="0"/>
                          <w:divBdr>
                            <w:top w:val="none" w:sz="0" w:space="0" w:color="auto"/>
                            <w:left w:val="none" w:sz="0" w:space="0" w:color="auto"/>
                            <w:bottom w:val="none" w:sz="0" w:space="0" w:color="auto"/>
                            <w:right w:val="none" w:sz="0" w:space="0" w:color="auto"/>
                          </w:divBdr>
                          <w:divsChild>
                            <w:div w:id="1801261854">
                              <w:marLeft w:val="0"/>
                              <w:marRight w:val="0"/>
                              <w:marTop w:val="0"/>
                              <w:marBottom w:val="0"/>
                              <w:divBdr>
                                <w:top w:val="none" w:sz="0" w:space="0" w:color="auto"/>
                                <w:left w:val="none" w:sz="0" w:space="0" w:color="auto"/>
                                <w:bottom w:val="none" w:sz="0" w:space="0" w:color="auto"/>
                                <w:right w:val="none" w:sz="0" w:space="0" w:color="auto"/>
                              </w:divBdr>
                              <w:divsChild>
                                <w:div w:id="1270774912">
                                  <w:marLeft w:val="0"/>
                                  <w:marRight w:val="0"/>
                                  <w:marTop w:val="0"/>
                                  <w:marBottom w:val="0"/>
                                  <w:divBdr>
                                    <w:top w:val="none" w:sz="0" w:space="0" w:color="auto"/>
                                    <w:left w:val="none" w:sz="0" w:space="0" w:color="auto"/>
                                    <w:bottom w:val="none" w:sz="0" w:space="0" w:color="auto"/>
                                    <w:right w:val="none" w:sz="0" w:space="0" w:color="auto"/>
                                  </w:divBdr>
                                  <w:divsChild>
                                    <w:div w:id="19385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691282">
      <w:bodyDiv w:val="1"/>
      <w:marLeft w:val="0"/>
      <w:marRight w:val="0"/>
      <w:marTop w:val="0"/>
      <w:marBottom w:val="0"/>
      <w:divBdr>
        <w:top w:val="none" w:sz="0" w:space="0" w:color="auto"/>
        <w:left w:val="none" w:sz="0" w:space="0" w:color="auto"/>
        <w:bottom w:val="none" w:sz="0" w:space="0" w:color="auto"/>
        <w:right w:val="none" w:sz="0" w:space="0" w:color="auto"/>
      </w:divBdr>
      <w:divsChild>
        <w:div w:id="121005569">
          <w:marLeft w:val="0"/>
          <w:marRight w:val="0"/>
          <w:marTop w:val="0"/>
          <w:marBottom w:val="0"/>
          <w:divBdr>
            <w:top w:val="none" w:sz="0" w:space="0" w:color="auto"/>
            <w:left w:val="none" w:sz="0" w:space="0" w:color="auto"/>
            <w:bottom w:val="none" w:sz="0" w:space="0" w:color="auto"/>
            <w:right w:val="none" w:sz="0" w:space="0" w:color="auto"/>
          </w:divBdr>
          <w:divsChild>
            <w:div w:id="1926063358">
              <w:marLeft w:val="0"/>
              <w:marRight w:val="0"/>
              <w:marTop w:val="0"/>
              <w:marBottom w:val="0"/>
              <w:divBdr>
                <w:top w:val="none" w:sz="0" w:space="0" w:color="auto"/>
                <w:left w:val="none" w:sz="0" w:space="0" w:color="auto"/>
                <w:bottom w:val="none" w:sz="0" w:space="0" w:color="auto"/>
                <w:right w:val="none" w:sz="0" w:space="0" w:color="auto"/>
              </w:divBdr>
              <w:divsChild>
                <w:div w:id="1770807723">
                  <w:marLeft w:val="0"/>
                  <w:marRight w:val="0"/>
                  <w:marTop w:val="0"/>
                  <w:marBottom w:val="0"/>
                  <w:divBdr>
                    <w:top w:val="none" w:sz="0" w:space="0" w:color="auto"/>
                    <w:left w:val="none" w:sz="0" w:space="0" w:color="auto"/>
                    <w:bottom w:val="none" w:sz="0" w:space="0" w:color="auto"/>
                    <w:right w:val="none" w:sz="0" w:space="0" w:color="auto"/>
                  </w:divBdr>
                  <w:divsChild>
                    <w:div w:id="1316956012">
                      <w:marLeft w:val="0"/>
                      <w:marRight w:val="0"/>
                      <w:marTop w:val="0"/>
                      <w:marBottom w:val="0"/>
                      <w:divBdr>
                        <w:top w:val="none" w:sz="0" w:space="0" w:color="auto"/>
                        <w:left w:val="none" w:sz="0" w:space="0" w:color="auto"/>
                        <w:bottom w:val="none" w:sz="0" w:space="0" w:color="auto"/>
                        <w:right w:val="none" w:sz="0" w:space="0" w:color="auto"/>
                      </w:divBdr>
                      <w:divsChild>
                        <w:div w:id="1652363928">
                          <w:marLeft w:val="0"/>
                          <w:marRight w:val="0"/>
                          <w:marTop w:val="0"/>
                          <w:marBottom w:val="0"/>
                          <w:divBdr>
                            <w:top w:val="none" w:sz="0" w:space="0" w:color="auto"/>
                            <w:left w:val="none" w:sz="0" w:space="0" w:color="auto"/>
                            <w:bottom w:val="none" w:sz="0" w:space="0" w:color="auto"/>
                            <w:right w:val="none" w:sz="0" w:space="0" w:color="auto"/>
                          </w:divBdr>
                          <w:divsChild>
                            <w:div w:id="602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2251">
      <w:bodyDiv w:val="1"/>
      <w:marLeft w:val="0"/>
      <w:marRight w:val="0"/>
      <w:marTop w:val="0"/>
      <w:marBottom w:val="0"/>
      <w:divBdr>
        <w:top w:val="none" w:sz="0" w:space="0" w:color="auto"/>
        <w:left w:val="none" w:sz="0" w:space="0" w:color="auto"/>
        <w:bottom w:val="none" w:sz="0" w:space="0" w:color="auto"/>
        <w:right w:val="none" w:sz="0" w:space="0" w:color="auto"/>
      </w:divBdr>
    </w:div>
    <w:div w:id="1845972198">
      <w:bodyDiv w:val="1"/>
      <w:marLeft w:val="0"/>
      <w:marRight w:val="0"/>
      <w:marTop w:val="0"/>
      <w:marBottom w:val="0"/>
      <w:divBdr>
        <w:top w:val="none" w:sz="0" w:space="0" w:color="auto"/>
        <w:left w:val="none" w:sz="0" w:space="0" w:color="auto"/>
        <w:bottom w:val="none" w:sz="0" w:space="0" w:color="auto"/>
        <w:right w:val="none" w:sz="0" w:space="0" w:color="auto"/>
      </w:divBdr>
    </w:div>
    <w:div w:id="1849637616">
      <w:bodyDiv w:val="1"/>
      <w:marLeft w:val="0"/>
      <w:marRight w:val="0"/>
      <w:marTop w:val="0"/>
      <w:marBottom w:val="0"/>
      <w:divBdr>
        <w:top w:val="none" w:sz="0" w:space="0" w:color="auto"/>
        <w:left w:val="none" w:sz="0" w:space="0" w:color="auto"/>
        <w:bottom w:val="none" w:sz="0" w:space="0" w:color="auto"/>
        <w:right w:val="none" w:sz="0" w:space="0" w:color="auto"/>
      </w:divBdr>
    </w:div>
    <w:div w:id="1857034094">
      <w:bodyDiv w:val="1"/>
      <w:marLeft w:val="0"/>
      <w:marRight w:val="0"/>
      <w:marTop w:val="0"/>
      <w:marBottom w:val="0"/>
      <w:divBdr>
        <w:top w:val="none" w:sz="0" w:space="0" w:color="auto"/>
        <w:left w:val="none" w:sz="0" w:space="0" w:color="auto"/>
        <w:bottom w:val="none" w:sz="0" w:space="0" w:color="auto"/>
        <w:right w:val="none" w:sz="0" w:space="0" w:color="auto"/>
      </w:divBdr>
    </w:div>
    <w:div w:id="1885948115">
      <w:bodyDiv w:val="1"/>
      <w:marLeft w:val="0"/>
      <w:marRight w:val="0"/>
      <w:marTop w:val="0"/>
      <w:marBottom w:val="0"/>
      <w:divBdr>
        <w:top w:val="none" w:sz="0" w:space="0" w:color="auto"/>
        <w:left w:val="none" w:sz="0" w:space="0" w:color="auto"/>
        <w:bottom w:val="none" w:sz="0" w:space="0" w:color="auto"/>
        <w:right w:val="none" w:sz="0" w:space="0" w:color="auto"/>
      </w:divBdr>
    </w:div>
    <w:div w:id="1894461079">
      <w:bodyDiv w:val="1"/>
      <w:marLeft w:val="0"/>
      <w:marRight w:val="0"/>
      <w:marTop w:val="0"/>
      <w:marBottom w:val="0"/>
      <w:divBdr>
        <w:top w:val="none" w:sz="0" w:space="0" w:color="auto"/>
        <w:left w:val="none" w:sz="0" w:space="0" w:color="auto"/>
        <w:bottom w:val="none" w:sz="0" w:space="0" w:color="auto"/>
        <w:right w:val="none" w:sz="0" w:space="0" w:color="auto"/>
      </w:divBdr>
    </w:div>
    <w:div w:id="1896502673">
      <w:bodyDiv w:val="1"/>
      <w:marLeft w:val="0"/>
      <w:marRight w:val="0"/>
      <w:marTop w:val="0"/>
      <w:marBottom w:val="0"/>
      <w:divBdr>
        <w:top w:val="none" w:sz="0" w:space="0" w:color="auto"/>
        <w:left w:val="none" w:sz="0" w:space="0" w:color="auto"/>
        <w:bottom w:val="none" w:sz="0" w:space="0" w:color="auto"/>
        <w:right w:val="none" w:sz="0" w:space="0" w:color="auto"/>
      </w:divBdr>
    </w:div>
    <w:div w:id="1918976928">
      <w:bodyDiv w:val="1"/>
      <w:marLeft w:val="0"/>
      <w:marRight w:val="0"/>
      <w:marTop w:val="0"/>
      <w:marBottom w:val="0"/>
      <w:divBdr>
        <w:top w:val="none" w:sz="0" w:space="0" w:color="auto"/>
        <w:left w:val="none" w:sz="0" w:space="0" w:color="auto"/>
        <w:bottom w:val="none" w:sz="0" w:space="0" w:color="auto"/>
        <w:right w:val="none" w:sz="0" w:space="0" w:color="auto"/>
      </w:divBdr>
    </w:div>
    <w:div w:id="1926069235">
      <w:bodyDiv w:val="1"/>
      <w:marLeft w:val="0"/>
      <w:marRight w:val="0"/>
      <w:marTop w:val="0"/>
      <w:marBottom w:val="0"/>
      <w:divBdr>
        <w:top w:val="none" w:sz="0" w:space="0" w:color="auto"/>
        <w:left w:val="none" w:sz="0" w:space="0" w:color="auto"/>
        <w:bottom w:val="none" w:sz="0" w:space="0" w:color="auto"/>
        <w:right w:val="none" w:sz="0" w:space="0" w:color="auto"/>
      </w:divBdr>
    </w:div>
    <w:div w:id="1927886047">
      <w:bodyDiv w:val="1"/>
      <w:marLeft w:val="0"/>
      <w:marRight w:val="0"/>
      <w:marTop w:val="0"/>
      <w:marBottom w:val="0"/>
      <w:divBdr>
        <w:top w:val="none" w:sz="0" w:space="0" w:color="auto"/>
        <w:left w:val="none" w:sz="0" w:space="0" w:color="auto"/>
        <w:bottom w:val="none" w:sz="0" w:space="0" w:color="auto"/>
        <w:right w:val="none" w:sz="0" w:space="0" w:color="auto"/>
      </w:divBdr>
    </w:div>
    <w:div w:id="1934046435">
      <w:bodyDiv w:val="1"/>
      <w:marLeft w:val="0"/>
      <w:marRight w:val="0"/>
      <w:marTop w:val="0"/>
      <w:marBottom w:val="0"/>
      <w:divBdr>
        <w:top w:val="none" w:sz="0" w:space="0" w:color="auto"/>
        <w:left w:val="none" w:sz="0" w:space="0" w:color="auto"/>
        <w:bottom w:val="none" w:sz="0" w:space="0" w:color="auto"/>
        <w:right w:val="none" w:sz="0" w:space="0" w:color="auto"/>
      </w:divBdr>
    </w:div>
    <w:div w:id="1972787740">
      <w:bodyDiv w:val="1"/>
      <w:marLeft w:val="0"/>
      <w:marRight w:val="0"/>
      <w:marTop w:val="0"/>
      <w:marBottom w:val="0"/>
      <w:divBdr>
        <w:top w:val="none" w:sz="0" w:space="0" w:color="auto"/>
        <w:left w:val="none" w:sz="0" w:space="0" w:color="auto"/>
        <w:bottom w:val="none" w:sz="0" w:space="0" w:color="auto"/>
        <w:right w:val="none" w:sz="0" w:space="0" w:color="auto"/>
      </w:divBdr>
      <w:divsChild>
        <w:div w:id="145806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6212203">
          <w:blockQuote w:val="1"/>
          <w:marLeft w:val="720"/>
          <w:marRight w:val="720"/>
          <w:marTop w:val="100"/>
          <w:marBottom w:val="100"/>
          <w:divBdr>
            <w:top w:val="none" w:sz="0" w:space="0" w:color="auto"/>
            <w:left w:val="none" w:sz="0" w:space="0" w:color="auto"/>
            <w:bottom w:val="none" w:sz="0" w:space="0" w:color="auto"/>
            <w:right w:val="none" w:sz="0" w:space="0" w:color="auto"/>
          </w:divBdr>
        </w:div>
        <w:div w:id="79850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94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361209">
          <w:blockQuote w:val="1"/>
          <w:marLeft w:val="720"/>
          <w:marRight w:val="720"/>
          <w:marTop w:val="100"/>
          <w:marBottom w:val="100"/>
          <w:divBdr>
            <w:top w:val="none" w:sz="0" w:space="0" w:color="auto"/>
            <w:left w:val="none" w:sz="0" w:space="0" w:color="auto"/>
            <w:bottom w:val="none" w:sz="0" w:space="0" w:color="auto"/>
            <w:right w:val="none" w:sz="0" w:space="0" w:color="auto"/>
          </w:divBdr>
        </w:div>
        <w:div w:id="4376032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1196615">
          <w:blockQuote w:val="1"/>
          <w:marLeft w:val="720"/>
          <w:marRight w:val="720"/>
          <w:marTop w:val="100"/>
          <w:marBottom w:val="100"/>
          <w:divBdr>
            <w:top w:val="none" w:sz="0" w:space="0" w:color="auto"/>
            <w:left w:val="none" w:sz="0" w:space="0" w:color="auto"/>
            <w:bottom w:val="none" w:sz="0" w:space="0" w:color="auto"/>
            <w:right w:val="none" w:sz="0" w:space="0" w:color="auto"/>
          </w:divBdr>
        </w:div>
        <w:div w:id="51006799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2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90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64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24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39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561244">
      <w:bodyDiv w:val="1"/>
      <w:marLeft w:val="0"/>
      <w:marRight w:val="0"/>
      <w:marTop w:val="0"/>
      <w:marBottom w:val="0"/>
      <w:divBdr>
        <w:top w:val="none" w:sz="0" w:space="0" w:color="auto"/>
        <w:left w:val="none" w:sz="0" w:space="0" w:color="auto"/>
        <w:bottom w:val="none" w:sz="0" w:space="0" w:color="auto"/>
        <w:right w:val="none" w:sz="0" w:space="0" w:color="auto"/>
      </w:divBdr>
    </w:div>
    <w:div w:id="1987970131">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6104609">
      <w:bodyDiv w:val="1"/>
      <w:marLeft w:val="0"/>
      <w:marRight w:val="0"/>
      <w:marTop w:val="0"/>
      <w:marBottom w:val="0"/>
      <w:divBdr>
        <w:top w:val="none" w:sz="0" w:space="0" w:color="auto"/>
        <w:left w:val="none" w:sz="0" w:space="0" w:color="auto"/>
        <w:bottom w:val="none" w:sz="0" w:space="0" w:color="auto"/>
        <w:right w:val="none" w:sz="0" w:space="0" w:color="auto"/>
      </w:divBdr>
    </w:div>
    <w:div w:id="1996837672">
      <w:bodyDiv w:val="1"/>
      <w:marLeft w:val="0"/>
      <w:marRight w:val="0"/>
      <w:marTop w:val="0"/>
      <w:marBottom w:val="0"/>
      <w:divBdr>
        <w:top w:val="none" w:sz="0" w:space="0" w:color="auto"/>
        <w:left w:val="none" w:sz="0" w:space="0" w:color="auto"/>
        <w:bottom w:val="none" w:sz="0" w:space="0" w:color="auto"/>
        <w:right w:val="none" w:sz="0" w:space="0" w:color="auto"/>
      </w:divBdr>
    </w:div>
    <w:div w:id="2006861066">
      <w:bodyDiv w:val="1"/>
      <w:marLeft w:val="0"/>
      <w:marRight w:val="0"/>
      <w:marTop w:val="0"/>
      <w:marBottom w:val="0"/>
      <w:divBdr>
        <w:top w:val="none" w:sz="0" w:space="0" w:color="auto"/>
        <w:left w:val="none" w:sz="0" w:space="0" w:color="auto"/>
        <w:bottom w:val="none" w:sz="0" w:space="0" w:color="auto"/>
        <w:right w:val="none" w:sz="0" w:space="0" w:color="auto"/>
      </w:divBdr>
    </w:div>
    <w:div w:id="2014868729">
      <w:bodyDiv w:val="1"/>
      <w:marLeft w:val="0"/>
      <w:marRight w:val="0"/>
      <w:marTop w:val="0"/>
      <w:marBottom w:val="0"/>
      <w:divBdr>
        <w:top w:val="none" w:sz="0" w:space="0" w:color="auto"/>
        <w:left w:val="none" w:sz="0" w:space="0" w:color="auto"/>
        <w:bottom w:val="none" w:sz="0" w:space="0" w:color="auto"/>
        <w:right w:val="none" w:sz="0" w:space="0" w:color="auto"/>
      </w:divBdr>
    </w:div>
    <w:div w:id="2022900212">
      <w:bodyDiv w:val="1"/>
      <w:marLeft w:val="0"/>
      <w:marRight w:val="0"/>
      <w:marTop w:val="0"/>
      <w:marBottom w:val="0"/>
      <w:divBdr>
        <w:top w:val="none" w:sz="0" w:space="0" w:color="auto"/>
        <w:left w:val="none" w:sz="0" w:space="0" w:color="auto"/>
        <w:bottom w:val="none" w:sz="0" w:space="0" w:color="auto"/>
        <w:right w:val="none" w:sz="0" w:space="0" w:color="auto"/>
      </w:divBdr>
    </w:div>
    <w:div w:id="2023585539">
      <w:bodyDiv w:val="1"/>
      <w:marLeft w:val="0"/>
      <w:marRight w:val="0"/>
      <w:marTop w:val="0"/>
      <w:marBottom w:val="0"/>
      <w:divBdr>
        <w:top w:val="none" w:sz="0" w:space="0" w:color="auto"/>
        <w:left w:val="none" w:sz="0" w:space="0" w:color="auto"/>
        <w:bottom w:val="none" w:sz="0" w:space="0" w:color="auto"/>
        <w:right w:val="none" w:sz="0" w:space="0" w:color="auto"/>
      </w:divBdr>
    </w:div>
    <w:div w:id="2027635546">
      <w:bodyDiv w:val="1"/>
      <w:marLeft w:val="0"/>
      <w:marRight w:val="0"/>
      <w:marTop w:val="0"/>
      <w:marBottom w:val="0"/>
      <w:divBdr>
        <w:top w:val="none" w:sz="0" w:space="0" w:color="auto"/>
        <w:left w:val="none" w:sz="0" w:space="0" w:color="auto"/>
        <w:bottom w:val="none" w:sz="0" w:space="0" w:color="auto"/>
        <w:right w:val="none" w:sz="0" w:space="0" w:color="auto"/>
      </w:divBdr>
    </w:div>
    <w:div w:id="2033457506">
      <w:bodyDiv w:val="1"/>
      <w:marLeft w:val="0"/>
      <w:marRight w:val="0"/>
      <w:marTop w:val="0"/>
      <w:marBottom w:val="0"/>
      <w:divBdr>
        <w:top w:val="none" w:sz="0" w:space="0" w:color="auto"/>
        <w:left w:val="none" w:sz="0" w:space="0" w:color="auto"/>
        <w:bottom w:val="none" w:sz="0" w:space="0" w:color="auto"/>
        <w:right w:val="none" w:sz="0" w:space="0" w:color="auto"/>
      </w:divBdr>
    </w:div>
    <w:div w:id="2033603510">
      <w:bodyDiv w:val="1"/>
      <w:marLeft w:val="0"/>
      <w:marRight w:val="0"/>
      <w:marTop w:val="0"/>
      <w:marBottom w:val="0"/>
      <w:divBdr>
        <w:top w:val="none" w:sz="0" w:space="0" w:color="auto"/>
        <w:left w:val="none" w:sz="0" w:space="0" w:color="auto"/>
        <w:bottom w:val="none" w:sz="0" w:space="0" w:color="auto"/>
        <w:right w:val="none" w:sz="0" w:space="0" w:color="auto"/>
      </w:divBdr>
    </w:div>
    <w:div w:id="2040004788">
      <w:bodyDiv w:val="1"/>
      <w:marLeft w:val="0"/>
      <w:marRight w:val="0"/>
      <w:marTop w:val="0"/>
      <w:marBottom w:val="0"/>
      <w:divBdr>
        <w:top w:val="none" w:sz="0" w:space="0" w:color="auto"/>
        <w:left w:val="none" w:sz="0" w:space="0" w:color="auto"/>
        <w:bottom w:val="none" w:sz="0" w:space="0" w:color="auto"/>
        <w:right w:val="none" w:sz="0" w:space="0" w:color="auto"/>
      </w:divBdr>
    </w:div>
    <w:div w:id="2054502250">
      <w:bodyDiv w:val="1"/>
      <w:marLeft w:val="0"/>
      <w:marRight w:val="0"/>
      <w:marTop w:val="0"/>
      <w:marBottom w:val="0"/>
      <w:divBdr>
        <w:top w:val="none" w:sz="0" w:space="0" w:color="auto"/>
        <w:left w:val="none" w:sz="0" w:space="0" w:color="auto"/>
        <w:bottom w:val="none" w:sz="0" w:space="0" w:color="auto"/>
        <w:right w:val="none" w:sz="0" w:space="0" w:color="auto"/>
      </w:divBdr>
    </w:div>
    <w:div w:id="2057310316">
      <w:bodyDiv w:val="1"/>
      <w:marLeft w:val="0"/>
      <w:marRight w:val="0"/>
      <w:marTop w:val="0"/>
      <w:marBottom w:val="0"/>
      <w:divBdr>
        <w:top w:val="none" w:sz="0" w:space="0" w:color="auto"/>
        <w:left w:val="none" w:sz="0" w:space="0" w:color="auto"/>
        <w:bottom w:val="none" w:sz="0" w:space="0" w:color="auto"/>
        <w:right w:val="none" w:sz="0" w:space="0" w:color="auto"/>
      </w:divBdr>
    </w:div>
    <w:div w:id="2062824983">
      <w:bodyDiv w:val="1"/>
      <w:marLeft w:val="0"/>
      <w:marRight w:val="0"/>
      <w:marTop w:val="0"/>
      <w:marBottom w:val="0"/>
      <w:divBdr>
        <w:top w:val="none" w:sz="0" w:space="0" w:color="auto"/>
        <w:left w:val="none" w:sz="0" w:space="0" w:color="auto"/>
        <w:bottom w:val="none" w:sz="0" w:space="0" w:color="auto"/>
        <w:right w:val="none" w:sz="0" w:space="0" w:color="auto"/>
      </w:divBdr>
    </w:div>
    <w:div w:id="2064982732">
      <w:bodyDiv w:val="1"/>
      <w:marLeft w:val="0"/>
      <w:marRight w:val="0"/>
      <w:marTop w:val="0"/>
      <w:marBottom w:val="0"/>
      <w:divBdr>
        <w:top w:val="none" w:sz="0" w:space="0" w:color="auto"/>
        <w:left w:val="none" w:sz="0" w:space="0" w:color="auto"/>
        <w:bottom w:val="none" w:sz="0" w:space="0" w:color="auto"/>
        <w:right w:val="none" w:sz="0" w:space="0" w:color="auto"/>
      </w:divBdr>
    </w:div>
    <w:div w:id="2069110270">
      <w:bodyDiv w:val="1"/>
      <w:marLeft w:val="0"/>
      <w:marRight w:val="0"/>
      <w:marTop w:val="0"/>
      <w:marBottom w:val="0"/>
      <w:divBdr>
        <w:top w:val="none" w:sz="0" w:space="0" w:color="auto"/>
        <w:left w:val="none" w:sz="0" w:space="0" w:color="auto"/>
        <w:bottom w:val="none" w:sz="0" w:space="0" w:color="auto"/>
        <w:right w:val="none" w:sz="0" w:space="0" w:color="auto"/>
      </w:divBdr>
    </w:div>
    <w:div w:id="2088845328">
      <w:bodyDiv w:val="1"/>
      <w:marLeft w:val="0"/>
      <w:marRight w:val="0"/>
      <w:marTop w:val="0"/>
      <w:marBottom w:val="0"/>
      <w:divBdr>
        <w:top w:val="none" w:sz="0" w:space="0" w:color="auto"/>
        <w:left w:val="none" w:sz="0" w:space="0" w:color="auto"/>
        <w:bottom w:val="none" w:sz="0" w:space="0" w:color="auto"/>
        <w:right w:val="none" w:sz="0" w:space="0" w:color="auto"/>
      </w:divBdr>
    </w:div>
    <w:div w:id="2089572024">
      <w:bodyDiv w:val="1"/>
      <w:marLeft w:val="0"/>
      <w:marRight w:val="0"/>
      <w:marTop w:val="0"/>
      <w:marBottom w:val="0"/>
      <w:divBdr>
        <w:top w:val="none" w:sz="0" w:space="0" w:color="auto"/>
        <w:left w:val="none" w:sz="0" w:space="0" w:color="auto"/>
        <w:bottom w:val="none" w:sz="0" w:space="0" w:color="auto"/>
        <w:right w:val="none" w:sz="0" w:space="0" w:color="auto"/>
      </w:divBdr>
    </w:div>
    <w:div w:id="2096978400">
      <w:bodyDiv w:val="1"/>
      <w:marLeft w:val="0"/>
      <w:marRight w:val="0"/>
      <w:marTop w:val="0"/>
      <w:marBottom w:val="0"/>
      <w:divBdr>
        <w:top w:val="none" w:sz="0" w:space="0" w:color="auto"/>
        <w:left w:val="none" w:sz="0" w:space="0" w:color="auto"/>
        <w:bottom w:val="none" w:sz="0" w:space="0" w:color="auto"/>
        <w:right w:val="none" w:sz="0" w:space="0" w:color="auto"/>
      </w:divBdr>
    </w:div>
    <w:div w:id="2098818874">
      <w:bodyDiv w:val="1"/>
      <w:marLeft w:val="0"/>
      <w:marRight w:val="0"/>
      <w:marTop w:val="0"/>
      <w:marBottom w:val="0"/>
      <w:divBdr>
        <w:top w:val="none" w:sz="0" w:space="0" w:color="auto"/>
        <w:left w:val="none" w:sz="0" w:space="0" w:color="auto"/>
        <w:bottom w:val="none" w:sz="0" w:space="0" w:color="auto"/>
        <w:right w:val="none" w:sz="0" w:space="0" w:color="auto"/>
      </w:divBdr>
    </w:div>
    <w:div w:id="2121029669">
      <w:bodyDiv w:val="1"/>
      <w:marLeft w:val="0"/>
      <w:marRight w:val="0"/>
      <w:marTop w:val="0"/>
      <w:marBottom w:val="0"/>
      <w:divBdr>
        <w:top w:val="none" w:sz="0" w:space="0" w:color="auto"/>
        <w:left w:val="none" w:sz="0" w:space="0" w:color="auto"/>
        <w:bottom w:val="none" w:sz="0" w:space="0" w:color="auto"/>
        <w:right w:val="none" w:sz="0" w:space="0" w:color="auto"/>
      </w:divBdr>
      <w:divsChild>
        <w:div w:id="1010067295">
          <w:marLeft w:val="0"/>
          <w:marRight w:val="0"/>
          <w:marTop w:val="0"/>
          <w:marBottom w:val="0"/>
          <w:divBdr>
            <w:top w:val="none" w:sz="0" w:space="0" w:color="auto"/>
            <w:left w:val="none" w:sz="0" w:space="0" w:color="auto"/>
            <w:bottom w:val="none" w:sz="0" w:space="0" w:color="auto"/>
            <w:right w:val="none" w:sz="0" w:space="0" w:color="auto"/>
          </w:divBdr>
          <w:divsChild>
            <w:div w:id="1183326946">
              <w:marLeft w:val="0"/>
              <w:marRight w:val="0"/>
              <w:marTop w:val="0"/>
              <w:marBottom w:val="0"/>
              <w:divBdr>
                <w:top w:val="none" w:sz="0" w:space="0" w:color="auto"/>
                <w:left w:val="none" w:sz="0" w:space="0" w:color="auto"/>
                <w:bottom w:val="none" w:sz="0" w:space="0" w:color="auto"/>
                <w:right w:val="none" w:sz="0" w:space="0" w:color="auto"/>
              </w:divBdr>
              <w:divsChild>
                <w:div w:id="398944712">
                  <w:marLeft w:val="0"/>
                  <w:marRight w:val="0"/>
                  <w:marTop w:val="0"/>
                  <w:marBottom w:val="0"/>
                  <w:divBdr>
                    <w:top w:val="none" w:sz="0" w:space="0" w:color="auto"/>
                    <w:left w:val="none" w:sz="0" w:space="0" w:color="auto"/>
                    <w:bottom w:val="none" w:sz="0" w:space="0" w:color="auto"/>
                    <w:right w:val="none" w:sz="0" w:space="0" w:color="auto"/>
                  </w:divBdr>
                  <w:divsChild>
                    <w:div w:id="1327660655">
                      <w:marLeft w:val="0"/>
                      <w:marRight w:val="0"/>
                      <w:marTop w:val="0"/>
                      <w:marBottom w:val="0"/>
                      <w:divBdr>
                        <w:top w:val="none" w:sz="0" w:space="0" w:color="auto"/>
                        <w:left w:val="none" w:sz="0" w:space="0" w:color="auto"/>
                        <w:bottom w:val="none" w:sz="0" w:space="0" w:color="auto"/>
                        <w:right w:val="none" w:sz="0" w:space="0" w:color="auto"/>
                      </w:divBdr>
                      <w:divsChild>
                        <w:div w:id="79372690">
                          <w:marLeft w:val="0"/>
                          <w:marRight w:val="0"/>
                          <w:marTop w:val="0"/>
                          <w:marBottom w:val="0"/>
                          <w:divBdr>
                            <w:top w:val="none" w:sz="0" w:space="0" w:color="auto"/>
                            <w:left w:val="none" w:sz="0" w:space="0" w:color="auto"/>
                            <w:bottom w:val="none" w:sz="0" w:space="0" w:color="auto"/>
                            <w:right w:val="none" w:sz="0" w:space="0" w:color="auto"/>
                          </w:divBdr>
                          <w:divsChild>
                            <w:div w:id="1566915104">
                              <w:marLeft w:val="0"/>
                              <w:marRight w:val="0"/>
                              <w:marTop w:val="0"/>
                              <w:marBottom w:val="0"/>
                              <w:divBdr>
                                <w:top w:val="none" w:sz="0" w:space="0" w:color="auto"/>
                                <w:left w:val="none" w:sz="0" w:space="0" w:color="auto"/>
                                <w:bottom w:val="none" w:sz="0" w:space="0" w:color="auto"/>
                                <w:right w:val="none" w:sz="0" w:space="0" w:color="auto"/>
                              </w:divBdr>
                              <w:divsChild>
                                <w:div w:id="1717509895">
                                  <w:marLeft w:val="0"/>
                                  <w:marRight w:val="0"/>
                                  <w:marTop w:val="0"/>
                                  <w:marBottom w:val="0"/>
                                  <w:divBdr>
                                    <w:top w:val="none" w:sz="0" w:space="0" w:color="auto"/>
                                    <w:left w:val="none" w:sz="0" w:space="0" w:color="auto"/>
                                    <w:bottom w:val="none" w:sz="0" w:space="0" w:color="auto"/>
                                    <w:right w:val="none" w:sz="0" w:space="0" w:color="auto"/>
                                  </w:divBdr>
                                  <w:divsChild>
                                    <w:div w:id="3329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425">
                          <w:marLeft w:val="0"/>
                          <w:marRight w:val="0"/>
                          <w:marTop w:val="0"/>
                          <w:marBottom w:val="0"/>
                          <w:divBdr>
                            <w:top w:val="none" w:sz="0" w:space="0" w:color="auto"/>
                            <w:left w:val="none" w:sz="0" w:space="0" w:color="auto"/>
                            <w:bottom w:val="none" w:sz="0" w:space="0" w:color="auto"/>
                            <w:right w:val="none" w:sz="0" w:space="0" w:color="auto"/>
                          </w:divBdr>
                          <w:divsChild>
                            <w:div w:id="1113475702">
                              <w:marLeft w:val="0"/>
                              <w:marRight w:val="0"/>
                              <w:marTop w:val="0"/>
                              <w:marBottom w:val="0"/>
                              <w:divBdr>
                                <w:top w:val="none" w:sz="0" w:space="0" w:color="auto"/>
                                <w:left w:val="none" w:sz="0" w:space="0" w:color="auto"/>
                                <w:bottom w:val="none" w:sz="0" w:space="0" w:color="auto"/>
                                <w:right w:val="none" w:sz="0" w:space="0" w:color="auto"/>
                              </w:divBdr>
                              <w:divsChild>
                                <w:div w:id="585723109">
                                  <w:marLeft w:val="0"/>
                                  <w:marRight w:val="0"/>
                                  <w:marTop w:val="0"/>
                                  <w:marBottom w:val="0"/>
                                  <w:divBdr>
                                    <w:top w:val="none" w:sz="0" w:space="0" w:color="auto"/>
                                    <w:left w:val="none" w:sz="0" w:space="0" w:color="auto"/>
                                    <w:bottom w:val="none" w:sz="0" w:space="0" w:color="auto"/>
                                    <w:right w:val="none" w:sz="0" w:space="0" w:color="auto"/>
                                  </w:divBdr>
                                  <w:divsChild>
                                    <w:div w:id="449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84020">
          <w:marLeft w:val="0"/>
          <w:marRight w:val="0"/>
          <w:marTop w:val="0"/>
          <w:marBottom w:val="0"/>
          <w:divBdr>
            <w:top w:val="none" w:sz="0" w:space="0" w:color="auto"/>
            <w:left w:val="none" w:sz="0" w:space="0" w:color="auto"/>
            <w:bottom w:val="none" w:sz="0" w:space="0" w:color="auto"/>
            <w:right w:val="none" w:sz="0" w:space="0" w:color="auto"/>
          </w:divBdr>
          <w:divsChild>
            <w:div w:id="720444794">
              <w:marLeft w:val="0"/>
              <w:marRight w:val="0"/>
              <w:marTop w:val="0"/>
              <w:marBottom w:val="0"/>
              <w:divBdr>
                <w:top w:val="none" w:sz="0" w:space="0" w:color="auto"/>
                <w:left w:val="none" w:sz="0" w:space="0" w:color="auto"/>
                <w:bottom w:val="none" w:sz="0" w:space="0" w:color="auto"/>
                <w:right w:val="none" w:sz="0" w:space="0" w:color="auto"/>
              </w:divBdr>
              <w:divsChild>
                <w:div w:id="1791243946">
                  <w:marLeft w:val="0"/>
                  <w:marRight w:val="0"/>
                  <w:marTop w:val="0"/>
                  <w:marBottom w:val="0"/>
                  <w:divBdr>
                    <w:top w:val="none" w:sz="0" w:space="0" w:color="auto"/>
                    <w:left w:val="none" w:sz="0" w:space="0" w:color="auto"/>
                    <w:bottom w:val="none" w:sz="0" w:space="0" w:color="auto"/>
                    <w:right w:val="none" w:sz="0" w:space="0" w:color="auto"/>
                  </w:divBdr>
                  <w:divsChild>
                    <w:div w:id="380055681">
                      <w:marLeft w:val="0"/>
                      <w:marRight w:val="0"/>
                      <w:marTop w:val="0"/>
                      <w:marBottom w:val="0"/>
                      <w:divBdr>
                        <w:top w:val="none" w:sz="0" w:space="0" w:color="auto"/>
                        <w:left w:val="none" w:sz="0" w:space="0" w:color="auto"/>
                        <w:bottom w:val="none" w:sz="0" w:space="0" w:color="auto"/>
                        <w:right w:val="none" w:sz="0" w:space="0" w:color="auto"/>
                      </w:divBdr>
                      <w:divsChild>
                        <w:div w:id="534998338">
                          <w:marLeft w:val="0"/>
                          <w:marRight w:val="0"/>
                          <w:marTop w:val="0"/>
                          <w:marBottom w:val="0"/>
                          <w:divBdr>
                            <w:top w:val="none" w:sz="0" w:space="0" w:color="auto"/>
                            <w:left w:val="none" w:sz="0" w:space="0" w:color="auto"/>
                            <w:bottom w:val="none" w:sz="0" w:space="0" w:color="auto"/>
                            <w:right w:val="none" w:sz="0" w:space="0" w:color="auto"/>
                          </w:divBdr>
                          <w:divsChild>
                            <w:div w:id="1245647143">
                              <w:marLeft w:val="0"/>
                              <w:marRight w:val="0"/>
                              <w:marTop w:val="0"/>
                              <w:marBottom w:val="0"/>
                              <w:divBdr>
                                <w:top w:val="none" w:sz="0" w:space="0" w:color="auto"/>
                                <w:left w:val="none" w:sz="0" w:space="0" w:color="auto"/>
                                <w:bottom w:val="none" w:sz="0" w:space="0" w:color="auto"/>
                                <w:right w:val="none" w:sz="0" w:space="0" w:color="auto"/>
                              </w:divBdr>
                              <w:divsChild>
                                <w:div w:id="580607355">
                                  <w:marLeft w:val="0"/>
                                  <w:marRight w:val="0"/>
                                  <w:marTop w:val="0"/>
                                  <w:marBottom w:val="0"/>
                                  <w:divBdr>
                                    <w:top w:val="none" w:sz="0" w:space="0" w:color="auto"/>
                                    <w:left w:val="none" w:sz="0" w:space="0" w:color="auto"/>
                                    <w:bottom w:val="none" w:sz="0" w:space="0" w:color="auto"/>
                                    <w:right w:val="none" w:sz="0" w:space="0" w:color="auto"/>
                                  </w:divBdr>
                                  <w:divsChild>
                                    <w:div w:id="566381577">
                                      <w:marLeft w:val="0"/>
                                      <w:marRight w:val="0"/>
                                      <w:marTop w:val="0"/>
                                      <w:marBottom w:val="0"/>
                                      <w:divBdr>
                                        <w:top w:val="none" w:sz="0" w:space="0" w:color="auto"/>
                                        <w:left w:val="none" w:sz="0" w:space="0" w:color="auto"/>
                                        <w:bottom w:val="none" w:sz="0" w:space="0" w:color="auto"/>
                                        <w:right w:val="none" w:sz="0" w:space="0" w:color="auto"/>
                                      </w:divBdr>
                                      <w:divsChild>
                                        <w:div w:id="16356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573360">
          <w:marLeft w:val="0"/>
          <w:marRight w:val="0"/>
          <w:marTop w:val="0"/>
          <w:marBottom w:val="0"/>
          <w:divBdr>
            <w:top w:val="none" w:sz="0" w:space="0" w:color="auto"/>
            <w:left w:val="none" w:sz="0" w:space="0" w:color="auto"/>
            <w:bottom w:val="none" w:sz="0" w:space="0" w:color="auto"/>
            <w:right w:val="none" w:sz="0" w:space="0" w:color="auto"/>
          </w:divBdr>
          <w:divsChild>
            <w:div w:id="114954590">
              <w:marLeft w:val="0"/>
              <w:marRight w:val="0"/>
              <w:marTop w:val="0"/>
              <w:marBottom w:val="0"/>
              <w:divBdr>
                <w:top w:val="none" w:sz="0" w:space="0" w:color="auto"/>
                <w:left w:val="none" w:sz="0" w:space="0" w:color="auto"/>
                <w:bottom w:val="none" w:sz="0" w:space="0" w:color="auto"/>
                <w:right w:val="none" w:sz="0" w:space="0" w:color="auto"/>
              </w:divBdr>
              <w:divsChild>
                <w:div w:id="773287524">
                  <w:marLeft w:val="0"/>
                  <w:marRight w:val="0"/>
                  <w:marTop w:val="0"/>
                  <w:marBottom w:val="0"/>
                  <w:divBdr>
                    <w:top w:val="none" w:sz="0" w:space="0" w:color="auto"/>
                    <w:left w:val="none" w:sz="0" w:space="0" w:color="auto"/>
                    <w:bottom w:val="none" w:sz="0" w:space="0" w:color="auto"/>
                    <w:right w:val="none" w:sz="0" w:space="0" w:color="auto"/>
                  </w:divBdr>
                  <w:divsChild>
                    <w:div w:id="1944338858">
                      <w:marLeft w:val="0"/>
                      <w:marRight w:val="0"/>
                      <w:marTop w:val="0"/>
                      <w:marBottom w:val="0"/>
                      <w:divBdr>
                        <w:top w:val="none" w:sz="0" w:space="0" w:color="auto"/>
                        <w:left w:val="none" w:sz="0" w:space="0" w:color="auto"/>
                        <w:bottom w:val="none" w:sz="0" w:space="0" w:color="auto"/>
                        <w:right w:val="none" w:sz="0" w:space="0" w:color="auto"/>
                      </w:divBdr>
                      <w:divsChild>
                        <w:div w:id="2002387688">
                          <w:marLeft w:val="0"/>
                          <w:marRight w:val="0"/>
                          <w:marTop w:val="0"/>
                          <w:marBottom w:val="0"/>
                          <w:divBdr>
                            <w:top w:val="none" w:sz="0" w:space="0" w:color="auto"/>
                            <w:left w:val="none" w:sz="0" w:space="0" w:color="auto"/>
                            <w:bottom w:val="none" w:sz="0" w:space="0" w:color="auto"/>
                            <w:right w:val="none" w:sz="0" w:space="0" w:color="auto"/>
                          </w:divBdr>
                          <w:divsChild>
                            <w:div w:id="780805679">
                              <w:marLeft w:val="0"/>
                              <w:marRight w:val="0"/>
                              <w:marTop w:val="0"/>
                              <w:marBottom w:val="0"/>
                              <w:divBdr>
                                <w:top w:val="none" w:sz="0" w:space="0" w:color="auto"/>
                                <w:left w:val="none" w:sz="0" w:space="0" w:color="auto"/>
                                <w:bottom w:val="none" w:sz="0" w:space="0" w:color="auto"/>
                                <w:right w:val="none" w:sz="0" w:space="0" w:color="auto"/>
                              </w:divBdr>
                              <w:divsChild>
                                <w:div w:id="12737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31103">
                  <w:marLeft w:val="0"/>
                  <w:marRight w:val="0"/>
                  <w:marTop w:val="0"/>
                  <w:marBottom w:val="0"/>
                  <w:divBdr>
                    <w:top w:val="none" w:sz="0" w:space="0" w:color="auto"/>
                    <w:left w:val="none" w:sz="0" w:space="0" w:color="auto"/>
                    <w:bottom w:val="none" w:sz="0" w:space="0" w:color="auto"/>
                    <w:right w:val="none" w:sz="0" w:space="0" w:color="auto"/>
                  </w:divBdr>
                  <w:divsChild>
                    <w:div w:id="5132084">
                      <w:marLeft w:val="0"/>
                      <w:marRight w:val="0"/>
                      <w:marTop w:val="0"/>
                      <w:marBottom w:val="0"/>
                      <w:divBdr>
                        <w:top w:val="none" w:sz="0" w:space="0" w:color="auto"/>
                        <w:left w:val="none" w:sz="0" w:space="0" w:color="auto"/>
                        <w:bottom w:val="none" w:sz="0" w:space="0" w:color="auto"/>
                        <w:right w:val="none" w:sz="0" w:space="0" w:color="auto"/>
                      </w:divBdr>
                      <w:divsChild>
                        <w:div w:id="1484734912">
                          <w:marLeft w:val="0"/>
                          <w:marRight w:val="0"/>
                          <w:marTop w:val="0"/>
                          <w:marBottom w:val="0"/>
                          <w:divBdr>
                            <w:top w:val="none" w:sz="0" w:space="0" w:color="auto"/>
                            <w:left w:val="none" w:sz="0" w:space="0" w:color="auto"/>
                            <w:bottom w:val="none" w:sz="0" w:space="0" w:color="auto"/>
                            <w:right w:val="none" w:sz="0" w:space="0" w:color="auto"/>
                          </w:divBdr>
                          <w:divsChild>
                            <w:div w:id="1975019853">
                              <w:marLeft w:val="0"/>
                              <w:marRight w:val="0"/>
                              <w:marTop w:val="0"/>
                              <w:marBottom w:val="0"/>
                              <w:divBdr>
                                <w:top w:val="none" w:sz="0" w:space="0" w:color="auto"/>
                                <w:left w:val="none" w:sz="0" w:space="0" w:color="auto"/>
                                <w:bottom w:val="none" w:sz="0" w:space="0" w:color="auto"/>
                                <w:right w:val="none" w:sz="0" w:space="0" w:color="auto"/>
                              </w:divBdr>
                              <w:divsChild>
                                <w:div w:id="2058964283">
                                  <w:marLeft w:val="0"/>
                                  <w:marRight w:val="0"/>
                                  <w:marTop w:val="0"/>
                                  <w:marBottom w:val="0"/>
                                  <w:divBdr>
                                    <w:top w:val="none" w:sz="0" w:space="0" w:color="auto"/>
                                    <w:left w:val="none" w:sz="0" w:space="0" w:color="auto"/>
                                    <w:bottom w:val="none" w:sz="0" w:space="0" w:color="auto"/>
                                    <w:right w:val="none" w:sz="0" w:space="0" w:color="auto"/>
                                  </w:divBdr>
                                  <w:divsChild>
                                    <w:div w:id="21011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795036">
      <w:bodyDiv w:val="1"/>
      <w:marLeft w:val="0"/>
      <w:marRight w:val="0"/>
      <w:marTop w:val="0"/>
      <w:marBottom w:val="0"/>
      <w:divBdr>
        <w:top w:val="none" w:sz="0" w:space="0" w:color="auto"/>
        <w:left w:val="none" w:sz="0" w:space="0" w:color="auto"/>
        <w:bottom w:val="none" w:sz="0" w:space="0" w:color="auto"/>
        <w:right w:val="none" w:sz="0" w:space="0" w:color="auto"/>
      </w:divBdr>
    </w:div>
    <w:div w:id="2128350407">
      <w:bodyDiv w:val="1"/>
      <w:marLeft w:val="0"/>
      <w:marRight w:val="0"/>
      <w:marTop w:val="0"/>
      <w:marBottom w:val="0"/>
      <w:divBdr>
        <w:top w:val="none" w:sz="0" w:space="0" w:color="auto"/>
        <w:left w:val="none" w:sz="0" w:space="0" w:color="auto"/>
        <w:bottom w:val="none" w:sz="0" w:space="0" w:color="auto"/>
        <w:right w:val="none" w:sz="0" w:space="0" w:color="auto"/>
      </w:divBdr>
    </w:div>
    <w:div w:id="2131514023">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 w:id="2137720796">
      <w:bodyDiv w:val="1"/>
      <w:marLeft w:val="0"/>
      <w:marRight w:val="0"/>
      <w:marTop w:val="0"/>
      <w:marBottom w:val="0"/>
      <w:divBdr>
        <w:top w:val="none" w:sz="0" w:space="0" w:color="auto"/>
        <w:left w:val="none" w:sz="0" w:space="0" w:color="auto"/>
        <w:bottom w:val="none" w:sz="0" w:space="0" w:color="auto"/>
        <w:right w:val="none" w:sz="0" w:space="0" w:color="auto"/>
      </w:divBdr>
    </w:div>
    <w:div w:id="2143184065">
      <w:bodyDiv w:val="1"/>
      <w:marLeft w:val="0"/>
      <w:marRight w:val="0"/>
      <w:marTop w:val="0"/>
      <w:marBottom w:val="0"/>
      <w:divBdr>
        <w:top w:val="none" w:sz="0" w:space="0" w:color="auto"/>
        <w:left w:val="none" w:sz="0" w:space="0" w:color="auto"/>
        <w:bottom w:val="none" w:sz="0" w:space="0" w:color="auto"/>
        <w:right w:val="none" w:sz="0" w:space="0" w:color="auto"/>
      </w:divBdr>
    </w:div>
    <w:div w:id="21473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chart" Target="charts/chart1.xml" Id="rId26" /><Relationship Type="http://schemas.openxmlformats.org/officeDocument/2006/relationships/hyperlink" Target="https://www.gov.scot/collections/national-strategy-for-community-justice-delivery-plan-updates/" TargetMode="External" Id="rId21" /><Relationship Type="http://schemas.openxmlformats.org/officeDocument/2006/relationships/hyperlink" Target="https://www.gov.scot/binaries/content/documents/govscot/publications/research-and-analysis/2024/01/national-care-service-justice-social-work-research/documents/national-care-service-justice-social-work-research-report/national-care-service-justice-social-work-research-report/govscot%3Adocument/national-care-service-justice-social-work-research-report.pdf" TargetMode="External" Id="rId42"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47" /><Relationship Type="http://schemas.openxmlformats.org/officeDocument/2006/relationships/hyperlink" Target="https://www.gov.scot/publications/scottish-crime-justice-survey-2021-22-main-findings/pages/9/" TargetMode="External" Id="rId63" /><Relationship Type="http://schemas.openxmlformats.org/officeDocument/2006/relationships/fontTable" Target="fontTable.xml" Id="rId68"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www.gov.scot/publications/national-strategy-community-justice-2/pages/1/" TargetMode="External" Id="rId16"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29" /><Relationship Type="http://schemas.openxmlformats.org/officeDocument/2006/relationships/endnotes" Target="endnotes.xml" Id="rId11"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24" /><Relationship Type="http://schemas.openxmlformats.org/officeDocument/2006/relationships/hyperlink" Target="https://publichealthscotland.scot/media/28214/v12_national-benchmark-report-on-mat-standards-2023-24.pdf" TargetMode="External" Id="rId32" /><Relationship Type="http://schemas.openxmlformats.org/officeDocument/2006/relationships/chart" Target="charts/chart4.xml" Id="rId37" /><Relationship Type="http://schemas.openxmlformats.org/officeDocument/2006/relationships/hyperlink" Target="https://communityjustice.scot/whats-new/insights/community-payback-order-summary-of-local-authority-annual-reports-2023-24/" TargetMode="External" Id="rId40" /><Relationship Type="http://schemas.openxmlformats.org/officeDocument/2006/relationships/hyperlink" Target="https://www.healthcareimprovementscotland.scot/wp-content/uploads/2024/12/Healthcare-within-justice-strategy-2024-2027.pdf" TargetMode="External" Id="rId45" /><Relationship Type="http://schemas.openxmlformats.org/officeDocument/2006/relationships/diagramData" Target="diagrams/data1.xml" Id="rId53" /><Relationship Type="http://schemas.openxmlformats.org/officeDocument/2006/relationships/hyperlink" Target="https://www.gov.scot/publications/national-strategy-community-justice-2/" TargetMode="External" Id="rId58" /><Relationship Type="http://schemas.openxmlformats.org/officeDocument/2006/relationships/hyperlink" Target="https://communityjustice.scot/privacy-policy-content-disclaimer/" TargetMode="External" Id="rId66" /><Relationship Type="http://schemas.openxmlformats.org/officeDocument/2006/relationships/customXml" Target="../customXml/item5.xml" Id="rId5" /><Relationship Type="http://schemas.openxmlformats.org/officeDocument/2006/relationships/hyperlink" Target="https://www.careinspectorate.com/images/documents/7234/A%20self-evaluation%20guide%20to%20support%20quality%20improvement%20for%20community%20justice%20in%20Scotland%20NOVEMBER%2023.pdf" TargetMode="External" Id="rId61" /><Relationship Type="http://schemas.openxmlformats.org/officeDocument/2006/relationships/image" Target="media/image3.png" Id="rId19" /><Relationship Type="http://schemas.openxmlformats.org/officeDocument/2006/relationships/footer" Target="footer1.xml" Id="rId14" /><Relationship Type="http://schemas.openxmlformats.org/officeDocument/2006/relationships/hyperlink" Target="https://communityjustice.scot/whats-new/insights/learning-from-local-areas-report-2023-24/" TargetMode="External" Id="rId22" /><Relationship Type="http://schemas.openxmlformats.org/officeDocument/2006/relationships/hyperlink" Target="https://communityjustice.scot/community-justice/community-intervention-and-support-directory/" TargetMode="External" Id="rId27" /><Relationship Type="http://schemas.openxmlformats.org/officeDocument/2006/relationships/chart" Target="charts/chart2.xml" Id="rId30" /><Relationship Type="http://schemas.openxmlformats.org/officeDocument/2006/relationships/hyperlink" Target="https://www.gov.scot/publications/decision-making-bail-remand-scotland-final-report-december-2023/pages/9/" TargetMode="External" Id="rId35" /><Relationship Type="http://schemas.openxmlformats.org/officeDocument/2006/relationships/hyperlink" Target="https://www.gov.scot/publications/restorative-justice-action-plan/pages/4/" TargetMode="External" Id="rId43" /><Relationship Type="http://schemas.openxmlformats.org/officeDocument/2006/relationships/hyperlink" Target="https://www.sps.gov.uk/sites/default/files/2024-11/REFRESHED%20SHORE%20STANDARDS%20-%2029%20October%202024.pdf" TargetMode="External" Id="rId48" /><Relationship Type="http://schemas.openxmlformats.org/officeDocument/2006/relationships/diagramColors" Target="diagrams/colors1.xml" Id="rId56" /><Relationship Type="http://schemas.openxmlformats.org/officeDocument/2006/relationships/hyperlink" Target="https://communityjustice.scot/community-justice/community-intervention-and-support-directory/" TargetMode="External" Id="rId64" /><Relationship Type="http://schemas.openxmlformats.org/officeDocument/2006/relationships/theme" Target="theme/theme1.xml" Id="rId69" /><Relationship Type="http://schemas.openxmlformats.org/officeDocument/2006/relationships/settings" Target="settings.xml" Id="rId8" /><Relationship Type="http://schemas.openxmlformats.org/officeDocument/2006/relationships/chart" Target="charts/chart7.xml" Id="rId51" /><Relationship Type="http://schemas.openxmlformats.org/officeDocument/2006/relationships/image" Target="media/image1.emf" Id="rId12" /><Relationship Type="http://schemas.openxmlformats.org/officeDocument/2006/relationships/hyperlink" Target="https://www.gov.scot/publications/vision-justice-scotland/pages/3/" TargetMode="External" Id="rId17" /><Relationship Type="http://schemas.openxmlformats.org/officeDocument/2006/relationships/hyperlink" Target="https://www.gov.scot/publications/community-justice-performance-framework/pages/7/" TargetMode="External" Id="rId25" /><Relationship Type="http://schemas.openxmlformats.org/officeDocument/2006/relationships/chart" Target="charts/chart3.xml" Id="rId33" /><Relationship Type="http://schemas.openxmlformats.org/officeDocument/2006/relationships/chart" Target="charts/chart5.xml" Id="rId38" /><Relationship Type="http://schemas.openxmlformats.org/officeDocument/2006/relationships/chart" Target="charts/chart6.xml" Id="rId46" /><Relationship Type="http://schemas.openxmlformats.org/officeDocument/2006/relationships/hyperlink" Target="https://www.gov.scot/publications/community-justice-performance-framework/" TargetMode="External" Id="rId59" /><Relationship Type="http://schemas.openxmlformats.org/officeDocument/2006/relationships/image" Target="media/image5.jpeg" Id="rId67" /><Relationship Type="http://schemas.openxmlformats.org/officeDocument/2006/relationships/hyperlink" Target="https://www.gov.scot/publications/national-strategy-community-justice-delivery-plan/" TargetMode="External" Id="rId20" /><Relationship Type="http://schemas.openxmlformats.org/officeDocument/2006/relationships/hyperlink" Target="https://www.gov.scot/publications/community-payback-order-practice-guidance-2/" TargetMode="External" Id="rId41" /><Relationship Type="http://schemas.openxmlformats.org/officeDocument/2006/relationships/diagramLayout" Target="diagrams/layout1.xml" Id="rId54" /><Relationship Type="http://schemas.openxmlformats.org/officeDocument/2006/relationships/chart" Target="charts/chart8.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2.xml" Id="rId15" /><Relationship Type="http://schemas.openxmlformats.org/officeDocument/2006/relationships/image" Target="media/image4.jpg" Id="rId23" /><Relationship Type="http://schemas.openxmlformats.org/officeDocument/2006/relationships/hyperlink" Target="https://www.gov.scot/binaries/content/documents/govscot/publications/strategy-plan/2022/02/vision-justice-scotland/documents/vision-justice-scotland-2022/vision-justice-scotland-2022/govscot%3Adocument/vision-justice-scotland-2022.pdf" TargetMode="External" Id="rId28" /><Relationship Type="http://schemas.openxmlformats.org/officeDocument/2006/relationships/hyperlink" Target="https://www.g4s.com/en-gb/-/media/g4s/unitedkingdom/indexed-files/files/electronic-monitoring-scotland/statisticalbulletin2024v207082024.ashx" TargetMode="External" Id="rId36"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49" /><Relationship Type="http://schemas.microsoft.com/office/2007/relationships/diagramDrawing" Target="diagrams/drawing1.xml" Id="rId57" /><Relationship Type="http://schemas.openxmlformats.org/officeDocument/2006/relationships/footnotes" Target="footnotes.xml" Id="rId10"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31"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44"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52" /><Relationship Type="http://schemas.openxmlformats.org/officeDocument/2006/relationships/hyperlink" Target="https://communityjustice.scot/learning-hub/data-and-innovation/a-community-justice-improvement-tool-local-evidence-for-national-outcomes-2/" TargetMode="External" Id="rId60" /><Relationship Type="http://schemas.openxmlformats.org/officeDocument/2006/relationships/hyperlink" Target="https://communityjustice.scot/privacy-policy-content-disclaimer/" TargetMode="Externa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3" /><Relationship Type="http://schemas.openxmlformats.org/officeDocument/2006/relationships/hyperlink" Target="https://www.gov.scot/publications/community-justice-performance-framework/pages/1/" TargetMode="External" Id="rId18"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39" /><Relationship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 Id="rId34" /><Relationship Type="http://schemas.openxmlformats.org/officeDocument/2006/relationships/hyperlink" Target="https://www.employabilityinscotland.com/media/d1xnr1th/final-report-no-one-left-behind-national-discussion-events-003.pdf" TargetMode="External" Id="rId50" /><Relationship Type="http://schemas.openxmlformats.org/officeDocument/2006/relationships/diagramQuickStyle" Target="diagrams/quickStyle1.xml" Id="rId55" /><Relationship Type="http://schemas.openxmlformats.org/officeDocument/2006/relationships/customXml" Target="/customXML/item6.xml" Id="Re110d9c0d6d64169" /></Relationships>
</file>

<file path=word/_rels/footnotes.xml.rels><?xml version="1.0" encoding="UTF-8" standalone="yes"?>
<Relationships xmlns="http://schemas.openxmlformats.org/package/2006/relationships"><Relationship Id="rId13" Type="http://schemas.openxmlformats.org/officeDocument/2006/relationships/hyperlink" Target="https://www.gov.scot/binaries/content/documents/govscot/publications/statistics/2025/01/justice-social-work-statistics-scotland-2023-24-part-2/documents/justice-social-work-statistics-justice-social-work-scotland-2023-24-statistics-part-2/justice-social-work-statistics-justice-social-work-scotland-2023-24-statistics-part-2/govscot%3Adocument/justice-social-work-statistics-justice-social-work-scotland-2023-24-statistics-part-2.pdf" TargetMode="External"/><Relationship Id="rId18" Type="http://schemas.openxmlformats.org/officeDocument/2006/relationships/hyperlink" Target="https://scotland.shinyapps.io/sg-criminal-disposals-dashboard/" TargetMode="External"/><Relationship Id="rId26" Type="http://schemas.openxmlformats.org/officeDocument/2006/relationships/hyperlink" Target="https://www.gov.scot/publications/justice-social-work-statistics-scotland-2023-24-part-1/pages/7/" TargetMode="External"/><Relationship Id="rId39" Type="http://schemas.openxmlformats.org/officeDocument/2006/relationships/hyperlink" Target="https://www.gov.scot/publications/community-justice-outcomes-improvement-planning-reporting-statutory-guidance/" TargetMode="External"/><Relationship Id="rId21" Type="http://schemas.openxmlformats.org/officeDocument/2006/relationships/hyperlink" Target="https://www.gov.scot/publications/justice-social-work-statistics-scotland-2023-24-part-1/" TargetMode="External"/><Relationship Id="rId34" Type="http://schemas.openxmlformats.org/officeDocument/2006/relationships/hyperlink" Target="https://www.gov.scot/binaries/content/documents/govscot/publications/statistics/2024/09/justice-social-work-statistics-scotland-2023-24-part-1/documents/justice-social-work-statistics-scotland-2023-24-part-1/justice-social-work-statistics-scotland-2023-24-part-1/govscot%3Adocument/justice-social-work-statistics-scotland-2023-24-part-1.pdf" TargetMode="External"/><Relationship Id="rId42" Type="http://schemas.openxmlformats.org/officeDocument/2006/relationships/hyperlink" Target="https://communityjustice.scot/wp-content/uploads/2024/12/CJS-Accounts-2023-24.pdf" TargetMode="External"/><Relationship Id="rId7" Type="http://schemas.openxmlformats.org/officeDocument/2006/relationships/hyperlink" Target="https://www.gov.scot/binaries/content/documents/govscot/publications/strategy-plan/2023/03/community-justice-performance-framework/documents/community-justice-performance-framework-guidance-technical-notes-version-2/community-justice-performance-framework-guidance-technical-notes-version-2/govscot%3Adocument/community-justice-performance-framework-guidance-technical-notes-version-2.pdf" TargetMode="External"/><Relationship Id="rId2" Type="http://schemas.openxmlformats.org/officeDocument/2006/relationships/hyperlink" Target="https://www.scottishsentencingcouncil.org.uk/media/ii4oqfoy/community-sentencing-stakeholder-event-march-2022-report.pdf" TargetMode="External"/><Relationship Id="rId16" Type="http://schemas.openxmlformats.org/officeDocument/2006/relationships/hyperlink" Target="https://www.gov.scot/publications/justice-social-work-statistics-additional-time-series-tables/" TargetMode="External"/><Relationship Id="rId20" Type="http://schemas.openxmlformats.org/officeDocument/2006/relationships/hyperlink" Target="https://www.copfs.gov.uk/media/evzjx4ky/copfs-annual-report-and-financial-statements-for-year-ended-31-march-2024.pdf" TargetMode="External"/><Relationship Id="rId29" Type="http://schemas.openxmlformats.org/officeDocument/2006/relationships/hyperlink" Target="https://www.gov.scot/publications/decision-making-bail-remand-scotland-final-report-december-2023/pages/9/" TargetMode="External"/><Relationship Id="rId41" Type="http://schemas.openxmlformats.org/officeDocument/2006/relationships/hyperlink" Target="https://www.gov.scot/publications/scottish-crime-justice-survey-2021-22-main-findings/pages/9/" TargetMode="External"/><Relationship Id="rId1" Type="http://schemas.openxmlformats.org/officeDocument/2006/relationships/hyperlink" Target="https://www.legislation.gov.uk/asp/2016/10/section/13" TargetMode="External"/><Relationship Id="rId6" Type="http://schemas.openxmlformats.org/officeDocument/2006/relationships/hyperlink" Target="https://www.gov.scot/publications/recorded-crime-scotland-2023-24/pages/2/" TargetMode="External"/><Relationship Id="rId11" Type="http://schemas.openxmlformats.org/officeDocument/2006/relationships/hyperlink" Target="https://www.gov.scot/binaries/content/documents/govscot/publications/research-and-analysis/2015/05/works-reduce-reoffending-summary-evidence/documents/works-reduce-reoffending-summary-evidence/works-reduce-reoffending-summary-evidence/govscot%3Adocument/00476574.pdf" TargetMode="External"/><Relationship Id="rId24" Type="http://schemas.openxmlformats.org/officeDocument/2006/relationships/hyperlink" Target="https://view.officeapps.live.com/op/view.aspx?src=https%3A%2F%2Fwww.scotland.police.uk%2Fspa-media%2Fxaffo3fk%2Fperformance-report-quarter-4-2023-24.docx&amp;wdOrigin=BROWSELINK" TargetMode="External"/><Relationship Id="rId32" Type="http://schemas.openxmlformats.org/officeDocument/2006/relationships/hyperlink" Target="https://www.gov.scot/binaries/content/documents/govscot/publications/statistics/2025/01/justice-social-work-statistics-scotland-2023-24-part-2/documents/justice-social-work-statistics-justice-social-work-scotland-2023-24-statistics-part-2/justice-social-work-statistics-justice-social-work-scotland-2023-24-statistics-part-2/govscot%3Adocument/justice-social-work-statistics-justice-social-work-scotland-2023-24-statistics-part-2.pdf" TargetMode="External"/><Relationship Id="rId37" Type="http://schemas.openxmlformats.org/officeDocument/2006/relationships/hyperlink" Target="https://www.gov.scot/publications/homelessness-in-scotland-prison-homelessness/" TargetMode="External"/><Relationship Id="rId40" Type="http://schemas.openxmlformats.org/officeDocument/2006/relationships/hyperlink" Target="https://www.gov.scot/collections/scottish-crime-and-justice-survey/" TargetMode="External"/><Relationship Id="rId5" Type="http://schemas.openxmlformats.org/officeDocument/2006/relationships/hyperlink" Target="https://prisonsinspectoratescotland.gov.uk/sites/default/files/publication_files/A%20Thematic%20Review%20of%20Prisoner%20Progression%20in%20Scottish%20Prisons_0.pdf" TargetMode="External"/><Relationship Id="rId15" Type="http://schemas.openxmlformats.org/officeDocument/2006/relationships/hyperlink" Target="https://www.gov.scot/publications/commission-future-delivery-public-services/" TargetMode="External"/><Relationship Id="rId23" Type="http://schemas.openxmlformats.org/officeDocument/2006/relationships/hyperlink" Target="https://view.officeapps.live.com/op/view.aspx?src=https%3A%2F%2Fwww.scotland.police.uk%2Fspa-media%2Fxaffo3fk%2Fperformance-report-quarter-4-2023-24.docx&amp;wdOrigin=BROWSELINK" TargetMode="External"/><Relationship Id="rId28" Type="http://schemas.openxmlformats.org/officeDocument/2006/relationships/hyperlink" Target="https://www.legislation.gov.uk/asp/2023/4/part/1" TargetMode="External"/><Relationship Id="rId36" Type="http://schemas.openxmlformats.org/officeDocument/2006/relationships/hyperlink" Target="https://www.mwcscot.org.uk/sites/default/files/2022-04/PrisonReport-April2022.pdf" TargetMode="External"/><Relationship Id="rId10" Type="http://schemas.openxmlformats.org/officeDocument/2006/relationships/hyperlink" Target="https://scotland.shinyapps.io/sg-prison-population-statistics/" TargetMode="External"/><Relationship Id="rId19" Type="http://schemas.openxmlformats.org/officeDocument/2006/relationships/hyperlink" Target="https://view.officeapps.live.com/op/view.aspx?src=https%3A%2F%2Fwww.scotland.police.uk%2Fspa-media%2Fxaffo3fk%2Fperformance-report-quarter-4-2023-24.docx&amp;wdOrigin=BROWSELINK" TargetMode="External"/><Relationship Id="rId31" Type="http://schemas.openxmlformats.org/officeDocument/2006/relationships/hyperlink" Target="https://www.gov.scot/publications/justice-social-work-statistics-scotland-2023-24-part-1/pages/11/" TargetMode="External"/><Relationship Id="rId4" Type="http://schemas.openxmlformats.org/officeDocument/2006/relationships/hyperlink" Target="https://www.gov.scot/publications/recorded-crime-scotland-2023-24/pages/16/" TargetMode="External"/><Relationship Id="rId9" Type="http://schemas.openxmlformats.org/officeDocument/2006/relationships/hyperlink" Target="https://scotland.shinyapps.io/sg-prison-population-statistics/" TargetMode="External"/><Relationship Id="rId14" Type="http://schemas.openxmlformats.org/officeDocument/2006/relationships/hyperlink" Target="https://communityjustice.scot/whats-new/insights/outcome-activity-annual-report-2022-23/" TargetMode="External"/><Relationship Id="rId22" Type="http://schemas.openxmlformats.org/officeDocument/2006/relationships/hyperlink" Target="https://www.careinspectorate.com/images/documents/6985/Joint%20review%20of%20diversion%20from%20prosecution%20-%20FINAL%20-%20published%20210223.pdf" TargetMode="External"/><Relationship Id="rId27" Type="http://schemas.openxmlformats.org/officeDocument/2006/relationships/hyperlink" Target="https://www.gov.scot/publications/bail-supervision-national-guidance/documents/" TargetMode="External"/><Relationship Id="rId30" Type="http://schemas.openxmlformats.org/officeDocument/2006/relationships/hyperlink" Target="https://www.g4s.com/en-gb/-/media/g4s/unitedkingdom/indexed-files/files/electronic-monitoring-scotland/statisticalbulletin2024v207082024.ashx" TargetMode="External"/><Relationship Id="rId35" Type="http://schemas.openxmlformats.org/officeDocument/2006/relationships/hyperlink" Target="https://publichealthscotland.scot/media/28214/v12_national-benchmark-report-on-mat-standards-2023-24.pdf" TargetMode="External"/><Relationship Id="rId8" Type="http://schemas.openxmlformats.org/officeDocument/2006/relationships/hyperlink" Target="https://www.gov.scot/binaries/content/documents/govscot/publications/statistics/2025/01/justice-social-work-statistics-scotland-2023-24-part-2/documents/justice-social-work-statistics-justice-social-work-scotland-2023-24-statistics-part-2/justice-social-work-statistics-justice-social-work-scotland-2023-24-statistics-part-2/govscot%3Adocument/justice-social-work-statistics-justice-social-work-scotland-2023-24-statistics-part-2.pdf" TargetMode="External"/><Relationship Id="rId3" Type="http://schemas.openxmlformats.org/officeDocument/2006/relationships/hyperlink" Target="https://www.sps.gov.uk/about-us/transparency/data-research-and-evidence" TargetMode="External"/><Relationship Id="rId12" Type="http://schemas.openxmlformats.org/officeDocument/2006/relationships/hyperlink" Target="https://www.gov.scot/binaries/content/documents/govscot/publications/statistics/2025/01/justice-social-work-statistics-scotland-2023-24-part-2/documents/justice-social-work-statistics-justice-social-work-scotland-2023-24-statistics-part-2/justice-social-work-statistics-justice-social-work-scotland-2023-24-statistics-part-2/govscot%3Adocument/justice-social-work-statistics-justice-social-work-scotland-2023-24-statistics-part-2.pdf" TargetMode="External"/><Relationship Id="rId17" Type="http://schemas.openxmlformats.org/officeDocument/2006/relationships/hyperlink" Target="https://www.gov.scot/publications/justice-social-work-statistics-scotland-2023-24-part-1/" TargetMode="External"/><Relationship Id="rId25" Type="http://schemas.openxmlformats.org/officeDocument/2006/relationships/hyperlink" Target="https://www.healthcareimprovementscotland.scot/publications/national-baseline-review-of-healthcare-provision-within-police-custody-centres-in-scotland/" TargetMode="External"/><Relationship Id="rId33" Type="http://schemas.openxmlformats.org/officeDocument/2006/relationships/hyperlink" Target="https://www.gov.scot/binaries/content/documents/govscot/publications/research-and-analysis/2023/08/review-community-sentencing-options-people-substance-use-problems-summary-key-findings/documents/review-community-sentencing-options-people-substance-use-problems-summary-key-findings/review-community-sentencing-options-people-substance-use-problems-summary-key-findings/govscot%3Adocument/review-community-sentencing-options-people-substance-use-problems-summary-key-findings.pdf" TargetMode="External"/><Relationship Id="rId38" Type="http://schemas.openxmlformats.org/officeDocument/2006/relationships/hyperlink" Target="https://www.gov.scot/publications/justice-social-work-statistics-scotland-2023-24-part-1/documen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cotsconnect-my.sharepoint.com/personal/richard_thomson_communityjustice_scot/Documents/OAAR%20202324%20Graphs,%20tables%20and%20sourc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pivotSource>
    <c:name>[OAAR 202324 Graphs, tables and sources.xlsx]High Level Indicator!PivotTable1</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cap="none" baseline="0"/>
              <a:t>High-level indicator: percentage of disposals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2225" cap="rnd">
            <a:solidFill>
              <a:schemeClr val="accent1"/>
            </a:solidFill>
            <a:round/>
          </a:ln>
          <a:effectLst/>
        </c:spPr>
        <c:marker>
          <c:symbol val="diamond"/>
          <c:size val="6"/>
          <c:spPr>
            <a:solidFill>
              <a:schemeClr val="accent1">
                <a:shade val="58000"/>
              </a:schemeClr>
            </a:solidFill>
            <a:ln w="9525">
              <a:solidFill>
                <a:schemeClr val="accent1">
                  <a:shade val="58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2225" cap="rnd">
            <a:solidFill>
              <a:schemeClr val="accent1"/>
            </a:solidFill>
            <a:round/>
          </a:ln>
          <a:effectLst/>
        </c:spPr>
        <c:marker>
          <c:symbol val="square"/>
          <c:size val="6"/>
          <c:spPr>
            <a:solidFill>
              <a:schemeClr val="accent1">
                <a:shade val="86000"/>
              </a:schemeClr>
            </a:solidFill>
            <a:ln w="9525">
              <a:solidFill>
                <a:schemeClr val="accent1">
                  <a:shade val="86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2225" cap="rnd">
            <a:solidFill>
              <a:schemeClr val="accent1"/>
            </a:solidFill>
            <a:round/>
          </a:ln>
          <a:effectLst/>
        </c:spPr>
        <c:marker>
          <c:symbol val="triangle"/>
          <c:size val="6"/>
          <c:spPr>
            <a:solidFill>
              <a:schemeClr val="accent1">
                <a:tint val="86000"/>
              </a:schemeClr>
            </a:solidFill>
            <a:ln w="9525">
              <a:solidFill>
                <a:schemeClr val="accent1">
                  <a:tint val="86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2225" cap="rnd">
            <a:solidFill>
              <a:schemeClr val="accent1"/>
            </a:solidFill>
            <a:round/>
          </a:ln>
          <a:effectLst/>
        </c:spPr>
        <c:marker>
          <c:symbol val="x"/>
          <c:size val="6"/>
          <c:spPr>
            <a:noFill/>
            <a:ln w="9525">
              <a:solidFill>
                <a:schemeClr val="accent1">
                  <a:tint val="58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2225" cap="rnd">
            <a:solidFill>
              <a:schemeClr val="accent1"/>
            </a:solidFill>
            <a:round/>
          </a:ln>
          <a:effectLst/>
        </c:spPr>
        <c:marker>
          <c:symbol val="diamond"/>
          <c:size val="6"/>
          <c:spPr>
            <a:solidFill>
              <a:schemeClr val="accent1">
                <a:shade val="58000"/>
              </a:schemeClr>
            </a:solidFill>
            <a:ln w="9525">
              <a:solidFill>
                <a:schemeClr val="accent1">
                  <a:shade val="58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2225" cap="rnd">
            <a:solidFill>
              <a:schemeClr val="accent1"/>
            </a:solidFill>
            <a:round/>
          </a:ln>
          <a:effectLst/>
        </c:spPr>
        <c:marker>
          <c:symbol val="square"/>
          <c:size val="6"/>
          <c:spPr>
            <a:solidFill>
              <a:schemeClr val="accent1">
                <a:shade val="86000"/>
              </a:schemeClr>
            </a:solidFill>
            <a:ln w="9525">
              <a:solidFill>
                <a:schemeClr val="accent1">
                  <a:shade val="86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2225" cap="rnd">
            <a:solidFill>
              <a:schemeClr val="accent1"/>
            </a:solidFill>
            <a:round/>
          </a:ln>
          <a:effectLst/>
        </c:spPr>
        <c:marker>
          <c:symbol val="triangle"/>
          <c:size val="6"/>
          <c:spPr>
            <a:solidFill>
              <a:schemeClr val="accent1">
                <a:tint val="86000"/>
              </a:schemeClr>
            </a:solidFill>
            <a:ln w="9525">
              <a:solidFill>
                <a:schemeClr val="accent1">
                  <a:tint val="86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2225" cap="rnd">
            <a:solidFill>
              <a:schemeClr val="accent1"/>
            </a:solidFill>
            <a:round/>
          </a:ln>
          <a:effectLst/>
        </c:spPr>
        <c:marker>
          <c:symbol val="x"/>
          <c:size val="6"/>
          <c:spPr>
            <a:noFill/>
            <a:ln w="9525">
              <a:solidFill>
                <a:schemeClr val="accent1">
                  <a:tint val="58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2225" cap="rnd">
            <a:solidFill>
              <a:schemeClr val="accent1"/>
            </a:solidFill>
            <a:round/>
          </a:ln>
          <a:effectLst/>
        </c:spPr>
        <c:marker>
          <c:symbol val="diamond"/>
          <c:size val="6"/>
          <c:spPr>
            <a:solidFill>
              <a:schemeClr val="accent1">
                <a:shade val="58000"/>
              </a:schemeClr>
            </a:solidFill>
            <a:ln w="9525">
              <a:solidFill>
                <a:schemeClr val="accent1">
                  <a:shade val="58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2225" cap="rnd">
            <a:solidFill>
              <a:schemeClr val="accent1"/>
            </a:solidFill>
            <a:round/>
          </a:ln>
          <a:effectLst/>
        </c:spPr>
        <c:marker>
          <c:symbol val="square"/>
          <c:size val="6"/>
          <c:spPr>
            <a:solidFill>
              <a:schemeClr val="accent1">
                <a:shade val="86000"/>
              </a:schemeClr>
            </a:solidFill>
            <a:ln w="9525">
              <a:solidFill>
                <a:schemeClr val="accent1">
                  <a:shade val="86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2225" cap="rnd">
            <a:solidFill>
              <a:schemeClr val="accent1"/>
            </a:solidFill>
            <a:round/>
          </a:ln>
          <a:effectLst/>
        </c:spPr>
        <c:marker>
          <c:symbol val="triangle"/>
          <c:size val="6"/>
          <c:spPr>
            <a:solidFill>
              <a:schemeClr val="accent1">
                <a:tint val="86000"/>
              </a:schemeClr>
            </a:solidFill>
            <a:ln w="9525">
              <a:solidFill>
                <a:schemeClr val="accent1">
                  <a:tint val="86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2225" cap="rnd">
            <a:solidFill>
              <a:schemeClr val="accent1"/>
            </a:solidFill>
            <a:round/>
          </a:ln>
          <a:effectLst/>
        </c:spPr>
        <c:marker>
          <c:symbol val="x"/>
          <c:size val="6"/>
          <c:spPr>
            <a:noFill/>
            <a:ln w="9525">
              <a:solidFill>
                <a:schemeClr val="accent1">
                  <a:tint val="58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'High Level Indicator'!$G$4:$G$5</c:f>
              <c:strCache>
                <c:ptCount val="1"/>
                <c:pt idx="0">
                  <c:v>Community</c:v>
                </c:pt>
              </c:strCache>
            </c:strRef>
          </c:tx>
          <c:spPr>
            <a:ln w="22225" cap="rnd">
              <a:solidFill>
                <a:schemeClr val="accent1">
                  <a:shade val="58000"/>
                </a:schemeClr>
              </a:solidFill>
              <a:round/>
            </a:ln>
            <a:effectLst/>
          </c:spPr>
          <c:marker>
            <c:symbol val="diamond"/>
            <c:size val="6"/>
            <c:spPr>
              <a:solidFill>
                <a:schemeClr val="accent1">
                  <a:shade val="58000"/>
                </a:schemeClr>
              </a:solidFill>
              <a:ln w="9525">
                <a:solidFill>
                  <a:schemeClr val="accent1">
                    <a:shade val="58000"/>
                  </a:schemeClr>
                </a:solidFill>
                <a:round/>
              </a:ln>
              <a:effectLst/>
            </c:spPr>
          </c:marker>
          <c:cat>
            <c:strRef>
              <c:f>'High Level Indicator'!$F$6:$F$13</c:f>
              <c:strCache>
                <c:ptCount val="7"/>
                <c:pt idx="0">
                  <c:v>2017-18 </c:v>
                </c:pt>
                <c:pt idx="1">
                  <c:v>2018-19 </c:v>
                </c:pt>
                <c:pt idx="2">
                  <c:v>2019-20 </c:v>
                </c:pt>
                <c:pt idx="3">
                  <c:v>2020-21 </c:v>
                </c:pt>
                <c:pt idx="4">
                  <c:v>2021-22 </c:v>
                </c:pt>
                <c:pt idx="5">
                  <c:v>2022-23 </c:v>
                </c:pt>
                <c:pt idx="6">
                  <c:v>2023-24 </c:v>
                </c:pt>
              </c:strCache>
            </c:strRef>
          </c:cat>
          <c:val>
            <c:numRef>
              <c:f>'High Level Indicator'!$G$6:$G$13</c:f>
              <c:numCache>
                <c:formatCode>General</c:formatCode>
                <c:ptCount val="7"/>
                <c:pt idx="0">
                  <c:v>17.2</c:v>
                </c:pt>
                <c:pt idx="1">
                  <c:v>16.8</c:v>
                </c:pt>
                <c:pt idx="2">
                  <c:v>18.7</c:v>
                </c:pt>
                <c:pt idx="3">
                  <c:v>17.399999999999999</c:v>
                </c:pt>
                <c:pt idx="4">
                  <c:v>16.100000000000001</c:v>
                </c:pt>
                <c:pt idx="5">
                  <c:v>15.6</c:v>
                </c:pt>
                <c:pt idx="6">
                  <c:v>16.3</c:v>
                </c:pt>
              </c:numCache>
            </c:numRef>
          </c:val>
          <c:smooth val="0"/>
          <c:extLst>
            <c:ext xmlns:c16="http://schemas.microsoft.com/office/drawing/2014/chart" uri="{C3380CC4-5D6E-409C-BE32-E72D297353CC}">
              <c16:uniqueId val="{00000000-BDC6-4696-BA98-DB62DB12B84D}"/>
            </c:ext>
          </c:extLst>
        </c:ser>
        <c:ser>
          <c:idx val="1"/>
          <c:order val="1"/>
          <c:tx>
            <c:strRef>
              <c:f>'High Level Indicator'!$H$4:$H$5</c:f>
              <c:strCache>
                <c:ptCount val="1"/>
                <c:pt idx="0">
                  <c:v>Custody</c:v>
                </c:pt>
              </c:strCache>
            </c:strRef>
          </c:tx>
          <c:spPr>
            <a:ln w="22225" cap="rnd">
              <a:solidFill>
                <a:schemeClr val="accent1">
                  <a:shade val="86000"/>
                </a:schemeClr>
              </a:solidFill>
              <a:round/>
            </a:ln>
            <a:effectLst/>
          </c:spPr>
          <c:marker>
            <c:symbol val="square"/>
            <c:size val="6"/>
            <c:spPr>
              <a:solidFill>
                <a:schemeClr val="accent1">
                  <a:shade val="86000"/>
                </a:schemeClr>
              </a:solidFill>
              <a:ln w="9525">
                <a:solidFill>
                  <a:schemeClr val="accent1">
                    <a:shade val="86000"/>
                  </a:schemeClr>
                </a:solidFill>
                <a:round/>
              </a:ln>
              <a:effectLst/>
            </c:spPr>
          </c:marker>
          <c:cat>
            <c:strRef>
              <c:f>'High Level Indicator'!$F$6:$F$13</c:f>
              <c:strCache>
                <c:ptCount val="7"/>
                <c:pt idx="0">
                  <c:v>2017-18 </c:v>
                </c:pt>
                <c:pt idx="1">
                  <c:v>2018-19 </c:v>
                </c:pt>
                <c:pt idx="2">
                  <c:v>2019-20 </c:v>
                </c:pt>
                <c:pt idx="3">
                  <c:v>2020-21 </c:v>
                </c:pt>
                <c:pt idx="4">
                  <c:v>2021-22 </c:v>
                </c:pt>
                <c:pt idx="5">
                  <c:v>2022-23 </c:v>
                </c:pt>
                <c:pt idx="6">
                  <c:v>2023-24 </c:v>
                </c:pt>
              </c:strCache>
            </c:strRef>
          </c:cat>
          <c:val>
            <c:numRef>
              <c:f>'High Level Indicator'!$H$6:$H$13</c:f>
              <c:numCache>
                <c:formatCode>General</c:formatCode>
                <c:ptCount val="7"/>
                <c:pt idx="0">
                  <c:v>12.7</c:v>
                </c:pt>
                <c:pt idx="1">
                  <c:v>13.5</c:v>
                </c:pt>
                <c:pt idx="2">
                  <c:v>12.9</c:v>
                </c:pt>
                <c:pt idx="3">
                  <c:v>13.3</c:v>
                </c:pt>
                <c:pt idx="4">
                  <c:v>10.3</c:v>
                </c:pt>
                <c:pt idx="5">
                  <c:v>9.6999999999999993</c:v>
                </c:pt>
                <c:pt idx="6">
                  <c:v>11.5</c:v>
                </c:pt>
              </c:numCache>
            </c:numRef>
          </c:val>
          <c:smooth val="0"/>
          <c:extLst>
            <c:ext xmlns:c16="http://schemas.microsoft.com/office/drawing/2014/chart" uri="{C3380CC4-5D6E-409C-BE32-E72D297353CC}">
              <c16:uniqueId val="{00000001-BDC6-4696-BA98-DB62DB12B84D}"/>
            </c:ext>
          </c:extLst>
        </c:ser>
        <c:ser>
          <c:idx val="2"/>
          <c:order val="2"/>
          <c:tx>
            <c:strRef>
              <c:f>'High Level Indicator'!$I$4:$I$5</c:f>
              <c:strCache>
                <c:ptCount val="1"/>
                <c:pt idx="0">
                  <c:v>Monetary</c:v>
                </c:pt>
              </c:strCache>
            </c:strRef>
          </c:tx>
          <c:spPr>
            <a:ln w="22225" cap="rnd">
              <a:solidFill>
                <a:schemeClr val="accent1">
                  <a:tint val="86000"/>
                </a:schemeClr>
              </a:solidFill>
              <a:round/>
            </a:ln>
            <a:effectLst/>
          </c:spPr>
          <c:marker>
            <c:symbol val="triangle"/>
            <c:size val="6"/>
            <c:spPr>
              <a:solidFill>
                <a:schemeClr val="accent1">
                  <a:tint val="86000"/>
                </a:schemeClr>
              </a:solidFill>
              <a:ln w="9525">
                <a:solidFill>
                  <a:schemeClr val="accent1">
                    <a:tint val="86000"/>
                  </a:schemeClr>
                </a:solidFill>
                <a:round/>
              </a:ln>
              <a:effectLst/>
            </c:spPr>
          </c:marker>
          <c:cat>
            <c:strRef>
              <c:f>'High Level Indicator'!$F$6:$F$13</c:f>
              <c:strCache>
                <c:ptCount val="7"/>
                <c:pt idx="0">
                  <c:v>2017-18 </c:v>
                </c:pt>
                <c:pt idx="1">
                  <c:v>2018-19 </c:v>
                </c:pt>
                <c:pt idx="2">
                  <c:v>2019-20 </c:v>
                </c:pt>
                <c:pt idx="3">
                  <c:v>2020-21 </c:v>
                </c:pt>
                <c:pt idx="4">
                  <c:v>2021-22 </c:v>
                </c:pt>
                <c:pt idx="5">
                  <c:v>2022-23 </c:v>
                </c:pt>
                <c:pt idx="6">
                  <c:v>2023-24 </c:v>
                </c:pt>
              </c:strCache>
            </c:strRef>
          </c:cat>
          <c:val>
            <c:numRef>
              <c:f>'High Level Indicator'!$I$6:$I$13</c:f>
              <c:numCache>
                <c:formatCode>General</c:formatCode>
                <c:ptCount val="7"/>
                <c:pt idx="0">
                  <c:v>28.3</c:v>
                </c:pt>
                <c:pt idx="1">
                  <c:v>27.6</c:v>
                </c:pt>
                <c:pt idx="2">
                  <c:v>25.9</c:v>
                </c:pt>
                <c:pt idx="3">
                  <c:v>20.2</c:v>
                </c:pt>
                <c:pt idx="4">
                  <c:v>21.2</c:v>
                </c:pt>
                <c:pt idx="5">
                  <c:v>20</c:v>
                </c:pt>
                <c:pt idx="6">
                  <c:v>18</c:v>
                </c:pt>
              </c:numCache>
            </c:numRef>
          </c:val>
          <c:smooth val="0"/>
          <c:extLst>
            <c:ext xmlns:c16="http://schemas.microsoft.com/office/drawing/2014/chart" uri="{C3380CC4-5D6E-409C-BE32-E72D297353CC}">
              <c16:uniqueId val="{00000002-BDC6-4696-BA98-DB62DB12B84D}"/>
            </c:ext>
          </c:extLst>
        </c:ser>
        <c:ser>
          <c:idx val="3"/>
          <c:order val="3"/>
          <c:tx>
            <c:strRef>
              <c:f>'High Level Indicator'!$J$4:$J$5</c:f>
              <c:strCache>
                <c:ptCount val="1"/>
                <c:pt idx="0">
                  <c:v>Other</c:v>
                </c:pt>
              </c:strCache>
            </c:strRef>
          </c:tx>
          <c:spPr>
            <a:ln w="22225" cap="rnd">
              <a:solidFill>
                <a:schemeClr val="accent1">
                  <a:tint val="58000"/>
                </a:schemeClr>
              </a:solidFill>
              <a:round/>
            </a:ln>
            <a:effectLst/>
          </c:spPr>
          <c:marker>
            <c:symbol val="x"/>
            <c:size val="6"/>
            <c:spPr>
              <a:noFill/>
              <a:ln w="9525">
                <a:solidFill>
                  <a:schemeClr val="accent1">
                    <a:tint val="58000"/>
                  </a:schemeClr>
                </a:solidFill>
                <a:round/>
              </a:ln>
              <a:effectLst/>
            </c:spPr>
          </c:marker>
          <c:cat>
            <c:strRef>
              <c:f>'High Level Indicator'!$F$6:$F$13</c:f>
              <c:strCache>
                <c:ptCount val="7"/>
                <c:pt idx="0">
                  <c:v>2017-18 </c:v>
                </c:pt>
                <c:pt idx="1">
                  <c:v>2018-19 </c:v>
                </c:pt>
                <c:pt idx="2">
                  <c:v>2019-20 </c:v>
                </c:pt>
                <c:pt idx="3">
                  <c:v>2020-21 </c:v>
                </c:pt>
                <c:pt idx="4">
                  <c:v>2021-22 </c:v>
                </c:pt>
                <c:pt idx="5">
                  <c:v>2022-23 </c:v>
                </c:pt>
                <c:pt idx="6">
                  <c:v>2023-24 </c:v>
                </c:pt>
              </c:strCache>
            </c:strRef>
          </c:cat>
          <c:val>
            <c:numRef>
              <c:f>'High Level Indicator'!$J$6:$J$13</c:f>
              <c:numCache>
                <c:formatCode>General</c:formatCode>
                <c:ptCount val="7"/>
                <c:pt idx="0">
                  <c:v>41.8</c:v>
                </c:pt>
                <c:pt idx="1">
                  <c:v>42.1</c:v>
                </c:pt>
                <c:pt idx="2">
                  <c:v>42.5</c:v>
                </c:pt>
                <c:pt idx="3">
                  <c:v>49.1</c:v>
                </c:pt>
                <c:pt idx="4">
                  <c:v>52.4</c:v>
                </c:pt>
                <c:pt idx="5">
                  <c:v>54.7</c:v>
                </c:pt>
                <c:pt idx="6">
                  <c:v>54.2</c:v>
                </c:pt>
              </c:numCache>
            </c:numRef>
          </c:val>
          <c:smooth val="0"/>
          <c:extLst>
            <c:ext xmlns:c16="http://schemas.microsoft.com/office/drawing/2014/chart" uri="{C3380CC4-5D6E-409C-BE32-E72D297353CC}">
              <c16:uniqueId val="{00000003-BDC6-4696-BA98-DB62DB12B84D}"/>
            </c:ext>
          </c:extLst>
        </c:ser>
        <c:dLbls>
          <c:showLegendKey val="0"/>
          <c:showVal val="0"/>
          <c:showCatName val="0"/>
          <c:showSerName val="0"/>
          <c:showPercent val="0"/>
          <c:showBubbleSize val="0"/>
        </c:dLbls>
        <c:marker val="1"/>
        <c:smooth val="0"/>
        <c:axId val="661374560"/>
        <c:axId val="661368320"/>
      </c:lineChart>
      <c:catAx>
        <c:axId val="66137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61368320"/>
        <c:crosses val="autoZero"/>
        <c:auto val="1"/>
        <c:lblAlgn val="ctr"/>
        <c:lblOffset val="100"/>
        <c:noMultiLvlLbl val="0"/>
      </c:catAx>
      <c:valAx>
        <c:axId val="6613683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3745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Diversion</a:t>
            </a:r>
            <a:r>
              <a:rPr lang="en-GB" baseline="0"/>
              <a:t> from prosecution</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'[OAAR 202324 Graphs, tables and sources.xlsx]Diversion from prosecution'!$B$4</c:f>
              <c:strCache>
                <c:ptCount val="1"/>
                <c:pt idx="0">
                  <c:v>Assessments undertaken</c:v>
                </c:pt>
              </c:strCache>
            </c:strRef>
          </c:tx>
          <c:spPr>
            <a:ln w="22225" cap="rnd">
              <a:solidFill>
                <a:schemeClr val="accent1">
                  <a:shade val="65000"/>
                </a:schemeClr>
              </a:solidFill>
              <a:round/>
            </a:ln>
            <a:effectLst/>
          </c:spPr>
          <c:marker>
            <c:symbol val="diamond"/>
            <c:size val="6"/>
            <c:spPr>
              <a:solidFill>
                <a:schemeClr val="accent1">
                  <a:shade val="65000"/>
                </a:schemeClr>
              </a:solidFill>
              <a:ln w="9525">
                <a:solidFill>
                  <a:schemeClr val="accent1">
                    <a:shade val="65000"/>
                  </a:schemeClr>
                </a:solidFill>
                <a:round/>
              </a:ln>
              <a:effectLst/>
            </c:spPr>
          </c:marker>
          <c:cat>
            <c:strRef>
              <c:f>'[OAAR 202324 Graphs, tables and sources.xlsx]Diversion from prosecution'!$A$5:$A$11</c:f>
              <c:strCache>
                <c:ptCount val="7"/>
                <c:pt idx="0">
                  <c:v>2017-18</c:v>
                </c:pt>
                <c:pt idx="1">
                  <c:v>2018-19</c:v>
                </c:pt>
                <c:pt idx="2">
                  <c:v>2019-20</c:v>
                </c:pt>
                <c:pt idx="3">
                  <c:v>2020-21</c:v>
                </c:pt>
                <c:pt idx="4">
                  <c:v>2021-22</c:v>
                </c:pt>
                <c:pt idx="5">
                  <c:v>2022-23</c:v>
                </c:pt>
                <c:pt idx="6">
                  <c:v>2023-24</c:v>
                </c:pt>
              </c:strCache>
            </c:strRef>
          </c:cat>
          <c:val>
            <c:numRef>
              <c:f>'[OAAR 202324 Graphs, tables and sources.xlsx]Diversion from prosecution'!$B$5:$B$11</c:f>
              <c:numCache>
                <c:formatCode>#,##0</c:formatCode>
                <c:ptCount val="7"/>
                <c:pt idx="0">
                  <c:v>2526</c:v>
                </c:pt>
                <c:pt idx="1">
                  <c:v>2757</c:v>
                </c:pt>
                <c:pt idx="2">
                  <c:v>2752</c:v>
                </c:pt>
                <c:pt idx="3">
                  <c:v>3552</c:v>
                </c:pt>
                <c:pt idx="4">
                  <c:v>4301</c:v>
                </c:pt>
                <c:pt idx="5">
                  <c:v>4409</c:v>
                </c:pt>
                <c:pt idx="6">
                  <c:v>5636</c:v>
                </c:pt>
              </c:numCache>
            </c:numRef>
          </c:val>
          <c:smooth val="0"/>
          <c:extLst>
            <c:ext xmlns:c16="http://schemas.microsoft.com/office/drawing/2014/chart" uri="{C3380CC4-5D6E-409C-BE32-E72D297353CC}">
              <c16:uniqueId val="{00000000-EDB6-4F76-975E-71CE03F62123}"/>
            </c:ext>
          </c:extLst>
        </c:ser>
        <c:ser>
          <c:idx val="1"/>
          <c:order val="1"/>
          <c:tx>
            <c:strRef>
              <c:f>'[OAAR 202324 Graphs, tables and sources.xlsx]Diversion from prosecution'!$C$4</c:f>
              <c:strCache>
                <c:ptCount val="1"/>
                <c:pt idx="0">
                  <c:v>Cases commenced</c:v>
                </c:pt>
              </c:strCache>
            </c:strRef>
          </c:tx>
          <c:spPr>
            <a:ln w="22225" cap="rnd">
              <a:solidFill>
                <a:schemeClr val="accent1"/>
              </a:solidFill>
              <a:round/>
            </a:ln>
            <a:effectLst/>
          </c:spPr>
          <c:marker>
            <c:symbol val="square"/>
            <c:size val="6"/>
            <c:spPr>
              <a:solidFill>
                <a:schemeClr val="accent1"/>
              </a:solidFill>
              <a:ln w="9525">
                <a:solidFill>
                  <a:schemeClr val="accent1"/>
                </a:solidFill>
                <a:round/>
              </a:ln>
              <a:effectLst/>
            </c:spPr>
          </c:marker>
          <c:cat>
            <c:strRef>
              <c:f>'[OAAR 202324 Graphs, tables and sources.xlsx]Diversion from prosecution'!$A$5:$A$11</c:f>
              <c:strCache>
                <c:ptCount val="7"/>
                <c:pt idx="0">
                  <c:v>2017-18</c:v>
                </c:pt>
                <c:pt idx="1">
                  <c:v>2018-19</c:v>
                </c:pt>
                <c:pt idx="2">
                  <c:v>2019-20</c:v>
                </c:pt>
                <c:pt idx="3">
                  <c:v>2020-21</c:v>
                </c:pt>
                <c:pt idx="4">
                  <c:v>2021-22</c:v>
                </c:pt>
                <c:pt idx="5">
                  <c:v>2022-23</c:v>
                </c:pt>
                <c:pt idx="6">
                  <c:v>2023-24</c:v>
                </c:pt>
              </c:strCache>
            </c:strRef>
          </c:cat>
          <c:val>
            <c:numRef>
              <c:f>'[OAAR 202324 Graphs, tables and sources.xlsx]Diversion from prosecution'!$C$5:$C$11</c:f>
              <c:numCache>
                <c:formatCode>#,##0</c:formatCode>
                <c:ptCount val="7"/>
                <c:pt idx="0">
                  <c:v>1725</c:v>
                </c:pt>
                <c:pt idx="1">
                  <c:v>1849</c:v>
                </c:pt>
                <c:pt idx="2">
                  <c:v>1990</c:v>
                </c:pt>
                <c:pt idx="3">
                  <c:v>2230</c:v>
                </c:pt>
                <c:pt idx="4">
                  <c:v>2673</c:v>
                </c:pt>
                <c:pt idx="5">
                  <c:v>2624</c:v>
                </c:pt>
                <c:pt idx="6">
                  <c:v>3354</c:v>
                </c:pt>
              </c:numCache>
            </c:numRef>
          </c:val>
          <c:smooth val="0"/>
          <c:extLst>
            <c:ext xmlns:c16="http://schemas.microsoft.com/office/drawing/2014/chart" uri="{C3380CC4-5D6E-409C-BE32-E72D297353CC}">
              <c16:uniqueId val="{00000001-EDB6-4F76-975E-71CE03F62123}"/>
            </c:ext>
          </c:extLst>
        </c:ser>
        <c:ser>
          <c:idx val="2"/>
          <c:order val="2"/>
          <c:tx>
            <c:strRef>
              <c:f>'[OAAR 202324 Graphs, tables and sources.xlsx]Diversion from prosecution'!$D$4</c:f>
              <c:strCache>
                <c:ptCount val="1"/>
                <c:pt idx="0">
                  <c:v>Cases successfully completed</c:v>
                </c:pt>
              </c:strCache>
            </c:strRef>
          </c:tx>
          <c:spPr>
            <a:ln w="22225" cap="rnd">
              <a:solidFill>
                <a:schemeClr val="accent1">
                  <a:tint val="65000"/>
                </a:schemeClr>
              </a:solidFill>
              <a:round/>
            </a:ln>
            <a:effectLst/>
          </c:spPr>
          <c:marker>
            <c:symbol val="triangle"/>
            <c:size val="6"/>
            <c:spPr>
              <a:solidFill>
                <a:schemeClr val="accent1">
                  <a:tint val="65000"/>
                </a:schemeClr>
              </a:solidFill>
              <a:ln w="9525">
                <a:solidFill>
                  <a:schemeClr val="accent1">
                    <a:tint val="65000"/>
                  </a:schemeClr>
                </a:solidFill>
                <a:round/>
              </a:ln>
              <a:effectLst/>
            </c:spPr>
          </c:marker>
          <c:cat>
            <c:strRef>
              <c:f>'[OAAR 202324 Graphs, tables and sources.xlsx]Diversion from prosecution'!$A$5:$A$11</c:f>
              <c:strCache>
                <c:ptCount val="7"/>
                <c:pt idx="0">
                  <c:v>2017-18</c:v>
                </c:pt>
                <c:pt idx="1">
                  <c:v>2018-19</c:v>
                </c:pt>
                <c:pt idx="2">
                  <c:v>2019-20</c:v>
                </c:pt>
                <c:pt idx="3">
                  <c:v>2020-21</c:v>
                </c:pt>
                <c:pt idx="4">
                  <c:v>2021-22</c:v>
                </c:pt>
                <c:pt idx="5">
                  <c:v>2022-23</c:v>
                </c:pt>
                <c:pt idx="6">
                  <c:v>2023-24</c:v>
                </c:pt>
              </c:strCache>
            </c:strRef>
          </c:cat>
          <c:val>
            <c:numRef>
              <c:f>'[OAAR 202324 Graphs, tables and sources.xlsx]Diversion from prosecution'!$D$5:$D$11</c:f>
              <c:numCache>
                <c:formatCode>#,##0</c:formatCode>
                <c:ptCount val="7"/>
                <c:pt idx="0">
                  <c:v>1367</c:v>
                </c:pt>
                <c:pt idx="1">
                  <c:v>1416</c:v>
                </c:pt>
                <c:pt idx="2">
                  <c:v>1578</c:v>
                </c:pt>
                <c:pt idx="3">
                  <c:v>1649</c:v>
                </c:pt>
                <c:pt idx="4">
                  <c:v>2151</c:v>
                </c:pt>
                <c:pt idx="5">
                  <c:v>1960</c:v>
                </c:pt>
                <c:pt idx="6">
                  <c:v>2397</c:v>
                </c:pt>
              </c:numCache>
            </c:numRef>
          </c:val>
          <c:smooth val="0"/>
          <c:extLst>
            <c:ext xmlns:c16="http://schemas.microsoft.com/office/drawing/2014/chart" uri="{C3380CC4-5D6E-409C-BE32-E72D297353CC}">
              <c16:uniqueId val="{00000002-EDB6-4F76-975E-71CE03F62123}"/>
            </c:ext>
          </c:extLst>
        </c:ser>
        <c:dLbls>
          <c:showLegendKey val="0"/>
          <c:showVal val="0"/>
          <c:showCatName val="0"/>
          <c:showSerName val="0"/>
          <c:showPercent val="0"/>
          <c:showBubbleSize val="0"/>
        </c:dLbls>
        <c:marker val="1"/>
        <c:smooth val="0"/>
        <c:axId val="670959664"/>
        <c:axId val="670961104"/>
      </c:lineChart>
      <c:catAx>
        <c:axId val="67095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0961104"/>
        <c:crosses val="autoZero"/>
        <c:auto val="1"/>
        <c:lblAlgn val="ctr"/>
        <c:lblOffset val="100"/>
        <c:noMultiLvlLbl val="0"/>
      </c:catAx>
      <c:valAx>
        <c:axId val="670961104"/>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9596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cap="none" baseline="0"/>
              <a:t>Bail</a:t>
            </a:r>
            <a:r>
              <a:rPr lang="en-GB"/>
              <a:t> </a:t>
            </a:r>
            <a:r>
              <a:rPr lang="en-GB" cap="none" baseline="0"/>
              <a:t>supervision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'Bail Supervision'!$B$3</c:f>
              <c:strCache>
                <c:ptCount val="1"/>
                <c:pt idx="0">
                  <c:v>Total assessment reports for bail suitability</c:v>
                </c:pt>
              </c:strCache>
            </c:strRef>
          </c:tx>
          <c:spPr>
            <a:ln w="22225" cap="rnd">
              <a:solidFill>
                <a:schemeClr val="accent1">
                  <a:shade val="65000"/>
                </a:schemeClr>
              </a:solidFill>
              <a:round/>
            </a:ln>
            <a:effectLst/>
          </c:spPr>
          <c:marker>
            <c:symbol val="diamond"/>
            <c:size val="6"/>
            <c:spPr>
              <a:solidFill>
                <a:schemeClr val="accent1">
                  <a:shade val="65000"/>
                </a:schemeClr>
              </a:solidFill>
              <a:ln w="9525">
                <a:solidFill>
                  <a:schemeClr val="accent1">
                    <a:shade val="65000"/>
                  </a:schemeClr>
                </a:solidFill>
                <a:round/>
              </a:ln>
              <a:effectLst/>
            </c:spPr>
          </c:marker>
          <c:cat>
            <c:strRef>
              <c:f>'Bail Supervision'!$A$4:$A$10</c:f>
              <c:strCache>
                <c:ptCount val="7"/>
                <c:pt idx="0">
                  <c:v>2017-18</c:v>
                </c:pt>
                <c:pt idx="1">
                  <c:v>2018-19</c:v>
                </c:pt>
                <c:pt idx="2">
                  <c:v>2019-20</c:v>
                </c:pt>
                <c:pt idx="3">
                  <c:v>2020-21</c:v>
                </c:pt>
                <c:pt idx="4">
                  <c:v>2021-22</c:v>
                </c:pt>
                <c:pt idx="5">
                  <c:v>2022-23</c:v>
                </c:pt>
                <c:pt idx="6">
                  <c:v>2023-24</c:v>
                </c:pt>
              </c:strCache>
            </c:strRef>
          </c:cat>
          <c:val>
            <c:numRef>
              <c:f>'Bail Supervision'!$B$4:$B$10</c:f>
              <c:numCache>
                <c:formatCode>General</c:formatCode>
                <c:ptCount val="7"/>
                <c:pt idx="5" formatCode="#,##0">
                  <c:v>4538</c:v>
                </c:pt>
                <c:pt idx="6" formatCode="#,##0">
                  <c:v>5532</c:v>
                </c:pt>
              </c:numCache>
            </c:numRef>
          </c:val>
          <c:smooth val="0"/>
          <c:extLst>
            <c:ext xmlns:c16="http://schemas.microsoft.com/office/drawing/2014/chart" uri="{C3380CC4-5D6E-409C-BE32-E72D297353CC}">
              <c16:uniqueId val="{00000000-B918-48A8-B10B-9EE2F43D6EF7}"/>
            </c:ext>
          </c:extLst>
        </c:ser>
        <c:ser>
          <c:idx val="1"/>
          <c:order val="1"/>
          <c:tx>
            <c:strRef>
              <c:f>'Bail Supervision'!$C$3</c:f>
              <c:strCache>
                <c:ptCount val="1"/>
                <c:pt idx="0">
                  <c:v>Number of bail supervison cases commenced</c:v>
                </c:pt>
              </c:strCache>
            </c:strRef>
          </c:tx>
          <c:spPr>
            <a:ln w="22225" cap="rnd">
              <a:solidFill>
                <a:schemeClr val="accent1"/>
              </a:solidFill>
              <a:round/>
            </a:ln>
            <a:effectLst/>
          </c:spPr>
          <c:marker>
            <c:symbol val="square"/>
            <c:size val="6"/>
            <c:spPr>
              <a:solidFill>
                <a:schemeClr val="accent1"/>
              </a:solidFill>
              <a:ln w="9525">
                <a:solidFill>
                  <a:schemeClr val="accent1"/>
                </a:solidFill>
                <a:round/>
              </a:ln>
              <a:effectLst/>
            </c:spPr>
          </c:marker>
          <c:cat>
            <c:strRef>
              <c:f>'Bail Supervision'!$A$4:$A$10</c:f>
              <c:strCache>
                <c:ptCount val="7"/>
                <c:pt idx="0">
                  <c:v>2017-18</c:v>
                </c:pt>
                <c:pt idx="1">
                  <c:v>2018-19</c:v>
                </c:pt>
                <c:pt idx="2">
                  <c:v>2019-20</c:v>
                </c:pt>
                <c:pt idx="3">
                  <c:v>2020-21</c:v>
                </c:pt>
                <c:pt idx="4">
                  <c:v>2021-22</c:v>
                </c:pt>
                <c:pt idx="5">
                  <c:v>2022-23</c:v>
                </c:pt>
                <c:pt idx="6">
                  <c:v>2023-24</c:v>
                </c:pt>
              </c:strCache>
            </c:strRef>
          </c:cat>
          <c:val>
            <c:numRef>
              <c:f>'Bail Supervision'!$C$4:$C$10</c:f>
              <c:numCache>
                <c:formatCode>#,##0</c:formatCode>
                <c:ptCount val="7"/>
                <c:pt idx="0">
                  <c:v>268</c:v>
                </c:pt>
                <c:pt idx="1">
                  <c:v>337</c:v>
                </c:pt>
                <c:pt idx="2">
                  <c:v>471</c:v>
                </c:pt>
                <c:pt idx="3">
                  <c:v>247</c:v>
                </c:pt>
                <c:pt idx="4">
                  <c:v>565</c:v>
                </c:pt>
                <c:pt idx="5">
                  <c:v>1110</c:v>
                </c:pt>
                <c:pt idx="6">
                  <c:v>1302</c:v>
                </c:pt>
              </c:numCache>
            </c:numRef>
          </c:val>
          <c:smooth val="0"/>
          <c:extLst>
            <c:ext xmlns:c16="http://schemas.microsoft.com/office/drawing/2014/chart" uri="{C3380CC4-5D6E-409C-BE32-E72D297353CC}">
              <c16:uniqueId val="{00000001-B918-48A8-B10B-9EE2F43D6EF7}"/>
            </c:ext>
          </c:extLst>
        </c:ser>
        <c:ser>
          <c:idx val="2"/>
          <c:order val="2"/>
          <c:tx>
            <c:strRef>
              <c:f>'Bail Supervision'!$D$3</c:f>
              <c:strCache>
                <c:ptCount val="1"/>
                <c:pt idx="0">
                  <c:v>Number of bail supervision cases successfully completed</c:v>
                </c:pt>
              </c:strCache>
            </c:strRef>
          </c:tx>
          <c:spPr>
            <a:ln w="22225" cap="rnd">
              <a:solidFill>
                <a:schemeClr val="accent1">
                  <a:tint val="65000"/>
                </a:schemeClr>
              </a:solidFill>
              <a:round/>
            </a:ln>
            <a:effectLst/>
          </c:spPr>
          <c:marker>
            <c:symbol val="triangle"/>
            <c:size val="6"/>
            <c:spPr>
              <a:solidFill>
                <a:schemeClr val="accent1">
                  <a:tint val="65000"/>
                </a:schemeClr>
              </a:solidFill>
              <a:ln w="9525">
                <a:solidFill>
                  <a:schemeClr val="accent1">
                    <a:tint val="65000"/>
                  </a:schemeClr>
                </a:solidFill>
                <a:round/>
              </a:ln>
              <a:effectLst/>
            </c:spPr>
          </c:marker>
          <c:cat>
            <c:strRef>
              <c:f>'Bail Supervision'!$A$4:$A$10</c:f>
              <c:strCache>
                <c:ptCount val="7"/>
                <c:pt idx="0">
                  <c:v>2017-18</c:v>
                </c:pt>
                <c:pt idx="1">
                  <c:v>2018-19</c:v>
                </c:pt>
                <c:pt idx="2">
                  <c:v>2019-20</c:v>
                </c:pt>
                <c:pt idx="3">
                  <c:v>2020-21</c:v>
                </c:pt>
                <c:pt idx="4">
                  <c:v>2021-22</c:v>
                </c:pt>
                <c:pt idx="5">
                  <c:v>2022-23</c:v>
                </c:pt>
                <c:pt idx="6">
                  <c:v>2023-24</c:v>
                </c:pt>
              </c:strCache>
            </c:strRef>
          </c:cat>
          <c:val>
            <c:numRef>
              <c:f>'Bail Supervision'!$D$4:$D$10</c:f>
              <c:numCache>
                <c:formatCode>General</c:formatCode>
                <c:ptCount val="7"/>
                <c:pt idx="5" formatCode="#,##0">
                  <c:v>348</c:v>
                </c:pt>
                <c:pt idx="6" formatCode="#,##0">
                  <c:v>831</c:v>
                </c:pt>
              </c:numCache>
            </c:numRef>
          </c:val>
          <c:smooth val="0"/>
          <c:extLst>
            <c:ext xmlns:c16="http://schemas.microsoft.com/office/drawing/2014/chart" uri="{C3380CC4-5D6E-409C-BE32-E72D297353CC}">
              <c16:uniqueId val="{00000002-B918-48A8-B10B-9EE2F43D6EF7}"/>
            </c:ext>
          </c:extLst>
        </c:ser>
        <c:dLbls>
          <c:showLegendKey val="0"/>
          <c:showVal val="0"/>
          <c:showCatName val="0"/>
          <c:showSerName val="0"/>
          <c:showPercent val="0"/>
          <c:showBubbleSize val="0"/>
        </c:dLbls>
        <c:marker val="1"/>
        <c:smooth val="0"/>
        <c:axId val="1441198623"/>
        <c:axId val="1951222752"/>
      </c:lineChart>
      <c:catAx>
        <c:axId val="1441198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951222752"/>
        <c:crosses val="autoZero"/>
        <c:auto val="1"/>
        <c:lblAlgn val="ctr"/>
        <c:lblOffset val="100"/>
        <c:noMultiLvlLbl val="0"/>
      </c:catAx>
      <c:valAx>
        <c:axId val="19512227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198623"/>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CPO successful completion rate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CPO!$B$3</c:f>
              <c:strCache>
                <c:ptCount val="1"/>
                <c:pt idx="0">
                  <c:v>CPO Successful completion rate (percentage)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CPO!$A$7:$A$13</c:f>
              <c:strCache>
                <c:ptCount val="7"/>
                <c:pt idx="0">
                  <c:v>2017-18</c:v>
                </c:pt>
                <c:pt idx="1">
                  <c:v>2018-19</c:v>
                </c:pt>
                <c:pt idx="2">
                  <c:v>2019-20</c:v>
                </c:pt>
                <c:pt idx="3">
                  <c:v>2020-21</c:v>
                </c:pt>
                <c:pt idx="4">
                  <c:v>2021-22</c:v>
                </c:pt>
                <c:pt idx="5">
                  <c:v>2022-23</c:v>
                </c:pt>
                <c:pt idx="6">
                  <c:v>2023-24</c:v>
                </c:pt>
              </c:strCache>
              <c:extLst/>
            </c:strRef>
          </c:cat>
          <c:val>
            <c:numRef>
              <c:f>CPO!$B$7:$B$13</c:f>
              <c:numCache>
                <c:formatCode>0%</c:formatCode>
                <c:ptCount val="7"/>
                <c:pt idx="0">
                  <c:v>0.69</c:v>
                </c:pt>
                <c:pt idx="1">
                  <c:v>0.68</c:v>
                </c:pt>
                <c:pt idx="2">
                  <c:v>0.69</c:v>
                </c:pt>
                <c:pt idx="3">
                  <c:v>0.75</c:v>
                </c:pt>
                <c:pt idx="4">
                  <c:v>0.73</c:v>
                </c:pt>
                <c:pt idx="5">
                  <c:v>0.73</c:v>
                </c:pt>
                <c:pt idx="6">
                  <c:v>0.71</c:v>
                </c:pt>
              </c:numCache>
              <c:extLst/>
            </c:numRef>
          </c:val>
          <c:smooth val="0"/>
          <c:extLst>
            <c:ext xmlns:c16="http://schemas.microsoft.com/office/drawing/2014/chart" uri="{C3380CC4-5D6E-409C-BE32-E72D297353CC}">
              <c16:uniqueId val="{00000000-5862-4D83-99DC-86C52615BE25}"/>
            </c:ext>
          </c:extLst>
        </c:ser>
        <c:dLbls>
          <c:showLegendKey val="0"/>
          <c:showVal val="0"/>
          <c:showCatName val="0"/>
          <c:showSerName val="0"/>
          <c:showPercent val="0"/>
          <c:showBubbleSize val="0"/>
        </c:dLbls>
        <c:marker val="1"/>
        <c:smooth val="0"/>
        <c:axId val="929836736"/>
        <c:axId val="929835296"/>
      </c:lineChart>
      <c:catAx>
        <c:axId val="9298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835296"/>
        <c:crosses val="autoZero"/>
        <c:auto val="1"/>
        <c:lblAlgn val="ctr"/>
        <c:lblOffset val="100"/>
        <c:noMultiLvlLbl val="0"/>
      </c:catAx>
      <c:valAx>
        <c:axId val="92983529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836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DTTO!$B$3</c:f>
              <c:strCache>
                <c:ptCount val="1"/>
                <c:pt idx="0">
                  <c:v>DTTO Successful completion rate (percentage)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DTTO!$A$7:$A$13</c:f>
              <c:strCache>
                <c:ptCount val="7"/>
                <c:pt idx="0">
                  <c:v>2017-18</c:v>
                </c:pt>
                <c:pt idx="1">
                  <c:v>2018-19</c:v>
                </c:pt>
                <c:pt idx="2">
                  <c:v>2019-20</c:v>
                </c:pt>
                <c:pt idx="3">
                  <c:v>2020-21</c:v>
                </c:pt>
                <c:pt idx="4">
                  <c:v>2021-22</c:v>
                </c:pt>
                <c:pt idx="5">
                  <c:v>2022-23</c:v>
                </c:pt>
                <c:pt idx="6">
                  <c:v>2023-24</c:v>
                </c:pt>
              </c:strCache>
              <c:extLst/>
            </c:strRef>
          </c:cat>
          <c:val>
            <c:numRef>
              <c:f>DTTO!$B$7:$B$13</c:f>
              <c:numCache>
                <c:formatCode>0%</c:formatCode>
                <c:ptCount val="7"/>
                <c:pt idx="0">
                  <c:v>0.39</c:v>
                </c:pt>
                <c:pt idx="1">
                  <c:v>0.37</c:v>
                </c:pt>
                <c:pt idx="2">
                  <c:v>0.39</c:v>
                </c:pt>
                <c:pt idx="3">
                  <c:v>0.66</c:v>
                </c:pt>
                <c:pt idx="4">
                  <c:v>0.49</c:v>
                </c:pt>
                <c:pt idx="5">
                  <c:v>0.48</c:v>
                </c:pt>
                <c:pt idx="6">
                  <c:v>0.51</c:v>
                </c:pt>
              </c:numCache>
              <c:extLst/>
            </c:numRef>
          </c:val>
          <c:smooth val="0"/>
          <c:extLst>
            <c:ext xmlns:c16="http://schemas.microsoft.com/office/drawing/2014/chart" uri="{C3380CC4-5D6E-409C-BE32-E72D297353CC}">
              <c16:uniqueId val="{00000000-7DAA-48F1-AE60-3ECBAAF61347}"/>
            </c:ext>
          </c:extLst>
        </c:ser>
        <c:dLbls>
          <c:showLegendKey val="0"/>
          <c:showVal val="0"/>
          <c:showCatName val="0"/>
          <c:showSerName val="0"/>
          <c:showPercent val="0"/>
          <c:showBubbleSize val="0"/>
        </c:dLbls>
        <c:marker val="1"/>
        <c:smooth val="0"/>
        <c:axId val="1952447200"/>
        <c:axId val="1952448640"/>
      </c:lineChart>
      <c:catAx>
        <c:axId val="195244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448640"/>
        <c:crosses val="autoZero"/>
        <c:auto val="1"/>
        <c:lblAlgn val="ctr"/>
        <c:lblOffset val="100"/>
        <c:noMultiLvlLbl val="0"/>
      </c:catAx>
      <c:valAx>
        <c:axId val="19524486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447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'[OAAR 202324 Graphs, tables and sources.xlsx]Homelessness Applications'!$B$3</c:f>
              <c:strCache>
                <c:ptCount val="1"/>
                <c:pt idx="0">
                  <c:v>Homelessness applications after prison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'[OAAR 202324 Graphs, tables and sources.xlsx]Homelessness Applications'!$A$4:$A$13</c:f>
              <c:strCache>
                <c:ptCount val="7"/>
                <c:pt idx="0">
                  <c:v>2017-18</c:v>
                </c:pt>
                <c:pt idx="1">
                  <c:v>2018-19</c:v>
                </c:pt>
                <c:pt idx="2">
                  <c:v>2019-20</c:v>
                </c:pt>
                <c:pt idx="3">
                  <c:v>2020-21</c:v>
                </c:pt>
                <c:pt idx="4">
                  <c:v>2021-22</c:v>
                </c:pt>
                <c:pt idx="5">
                  <c:v>2022-23</c:v>
                </c:pt>
                <c:pt idx="6">
                  <c:v>2023-24</c:v>
                </c:pt>
              </c:strCache>
              <c:extLst/>
            </c:strRef>
          </c:cat>
          <c:val>
            <c:numRef>
              <c:f>'[OAAR 202324 Graphs, tables and sources.xlsx]Homelessness Applications'!$B$4:$B$13</c:f>
              <c:numCache>
                <c:formatCode>General</c:formatCode>
                <c:ptCount val="7"/>
                <c:pt idx="0">
                  <c:v>1870</c:v>
                </c:pt>
                <c:pt idx="1">
                  <c:v>1840</c:v>
                </c:pt>
                <c:pt idx="2">
                  <c:v>2005</c:v>
                </c:pt>
                <c:pt idx="3">
                  <c:v>1815</c:v>
                </c:pt>
                <c:pt idx="4">
                  <c:v>1670</c:v>
                </c:pt>
                <c:pt idx="5">
                  <c:v>1640</c:v>
                </c:pt>
                <c:pt idx="6">
                  <c:v>1640</c:v>
                </c:pt>
              </c:numCache>
              <c:extLst/>
            </c:numRef>
          </c:val>
          <c:smooth val="0"/>
          <c:extLst>
            <c:ext xmlns:c16="http://schemas.microsoft.com/office/drawing/2014/chart" uri="{C3380CC4-5D6E-409C-BE32-E72D297353CC}">
              <c16:uniqueId val="{00000000-AD17-48DB-8259-2FBF54B8DD6F}"/>
            </c:ext>
          </c:extLst>
        </c:ser>
        <c:dLbls>
          <c:showLegendKey val="0"/>
          <c:showVal val="0"/>
          <c:showCatName val="0"/>
          <c:showSerName val="0"/>
          <c:showPercent val="0"/>
          <c:showBubbleSize val="0"/>
        </c:dLbls>
        <c:marker val="1"/>
        <c:smooth val="0"/>
        <c:axId val="1437923055"/>
        <c:axId val="1445129567"/>
      </c:lineChart>
      <c:catAx>
        <c:axId val="143792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129567"/>
        <c:crosses val="autoZero"/>
        <c:auto val="1"/>
        <c:lblAlgn val="ctr"/>
        <c:lblOffset val="100"/>
        <c:noMultiLvlLbl val="0"/>
      </c:catAx>
      <c:valAx>
        <c:axId val="144512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9230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'[OAAR 202324 Graphs, tables and sources.xlsx]Voluntary Throughcare'!$B$4</c:f>
              <c:strCache>
                <c:ptCount val="1"/>
                <c:pt idx="0">
                  <c:v>Number of voluntary throughcare cases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'[OAAR 202324 Graphs, tables and sources.xlsx]Voluntary Throughcare'!$A$5:$A$11</c:f>
              <c:strCache>
                <c:ptCount val="7"/>
                <c:pt idx="0">
                  <c:v>2017-18</c:v>
                </c:pt>
                <c:pt idx="1">
                  <c:v>2018-19</c:v>
                </c:pt>
                <c:pt idx="2">
                  <c:v>2019-20</c:v>
                </c:pt>
                <c:pt idx="3">
                  <c:v>2020-21</c:v>
                </c:pt>
                <c:pt idx="4">
                  <c:v>2021-22</c:v>
                </c:pt>
                <c:pt idx="5">
                  <c:v>2022-23</c:v>
                </c:pt>
                <c:pt idx="6">
                  <c:v>2023-24</c:v>
                </c:pt>
              </c:strCache>
            </c:strRef>
          </c:cat>
          <c:val>
            <c:numRef>
              <c:f>'[OAAR 202324 Graphs, tables and sources.xlsx]Voluntary Throughcare'!$B$5:$B$11</c:f>
              <c:numCache>
                <c:formatCode>General</c:formatCode>
                <c:ptCount val="7"/>
                <c:pt idx="0">
                  <c:v>2084</c:v>
                </c:pt>
                <c:pt idx="1">
                  <c:v>1795</c:v>
                </c:pt>
                <c:pt idx="2">
                  <c:v>2022</c:v>
                </c:pt>
                <c:pt idx="3">
                  <c:v>1406</c:v>
                </c:pt>
                <c:pt idx="4">
                  <c:v>1787</c:v>
                </c:pt>
                <c:pt idx="5">
                  <c:v>1840</c:v>
                </c:pt>
                <c:pt idx="6">
                  <c:v>1868</c:v>
                </c:pt>
              </c:numCache>
            </c:numRef>
          </c:val>
          <c:smooth val="0"/>
          <c:extLst>
            <c:ext xmlns:c16="http://schemas.microsoft.com/office/drawing/2014/chart" uri="{C3380CC4-5D6E-409C-BE32-E72D297353CC}">
              <c16:uniqueId val="{00000000-7B9A-447D-92DF-0BA9F9F2C24B}"/>
            </c:ext>
          </c:extLst>
        </c:ser>
        <c:dLbls>
          <c:showLegendKey val="0"/>
          <c:showVal val="0"/>
          <c:showCatName val="0"/>
          <c:showSerName val="0"/>
          <c:showPercent val="0"/>
          <c:showBubbleSize val="0"/>
        </c:dLbls>
        <c:marker val="1"/>
        <c:smooth val="0"/>
        <c:axId val="1259418687"/>
        <c:axId val="487879680"/>
      </c:lineChart>
      <c:catAx>
        <c:axId val="125941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79680"/>
        <c:crosses val="autoZero"/>
        <c:auto val="1"/>
        <c:lblAlgn val="ctr"/>
        <c:lblOffset val="100"/>
        <c:noMultiLvlLbl val="0"/>
      </c:catAx>
      <c:valAx>
        <c:axId val="48787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4186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Public!$B$4</c:f>
              <c:strCache>
                <c:ptCount val="1"/>
                <c:pt idx="0">
                  <c:v>Percentage who agree </c:v>
                </c:pt>
              </c:strCache>
            </c:strRef>
          </c:tx>
          <c:spPr>
            <a:ln w="28575" cap="rnd">
              <a:solidFill>
                <a:schemeClr val="accent1"/>
              </a:solidFill>
              <a:round/>
            </a:ln>
            <a:effectLst/>
          </c:spPr>
          <c:marker>
            <c:symbol val="none"/>
          </c:marker>
          <c:cat>
            <c:strRef>
              <c:f>Public!$A$5:$A$8</c:f>
              <c:strCache>
                <c:ptCount val="4"/>
                <c:pt idx="0">
                  <c:v>2017-18</c:v>
                </c:pt>
                <c:pt idx="1">
                  <c:v>2018-19</c:v>
                </c:pt>
                <c:pt idx="2">
                  <c:v>2019-20</c:v>
                </c:pt>
                <c:pt idx="3">
                  <c:v>2021-22</c:v>
                </c:pt>
              </c:strCache>
            </c:strRef>
          </c:cat>
          <c:val>
            <c:numRef>
              <c:f>Public!$B$5:$B$8</c:f>
              <c:numCache>
                <c:formatCode>0%</c:formatCode>
                <c:ptCount val="4"/>
                <c:pt idx="0">
                  <c:v>0.84053430270237983</c:v>
                </c:pt>
                <c:pt idx="1">
                  <c:v>0.84394743046805398</c:v>
                </c:pt>
                <c:pt idx="2">
                  <c:v>0.82534373792543803</c:v>
                </c:pt>
                <c:pt idx="3">
                  <c:v>0.82379959907876865</c:v>
                </c:pt>
              </c:numCache>
            </c:numRef>
          </c:val>
          <c:smooth val="0"/>
          <c:extLst>
            <c:ext xmlns:c16="http://schemas.microsoft.com/office/drawing/2014/chart" uri="{C3380CC4-5D6E-409C-BE32-E72D297353CC}">
              <c16:uniqueId val="{00000000-FA38-4EE8-B709-48F5C28E738F}"/>
            </c:ext>
          </c:extLst>
        </c:ser>
        <c:dLbls>
          <c:showLegendKey val="0"/>
          <c:showVal val="0"/>
          <c:showCatName val="0"/>
          <c:showSerName val="0"/>
          <c:showPercent val="0"/>
          <c:showBubbleSize val="0"/>
        </c:dLbls>
        <c:smooth val="0"/>
        <c:axId val="1313777616"/>
        <c:axId val="1313776176"/>
      </c:lineChart>
      <c:catAx>
        <c:axId val="131377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776176"/>
        <c:crosses val="autoZero"/>
        <c:auto val="1"/>
        <c:lblAlgn val="ctr"/>
        <c:lblOffset val="100"/>
        <c:noMultiLvlLbl val="0"/>
      </c:catAx>
      <c:valAx>
        <c:axId val="131377617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777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hyperlink" Target="https://communityjustice.scot/learning-hub/data-and-innovation/a-community-justice-improvement-tool-local-evidence-for-national-outcomes-2/" TargetMode="External"/><Relationship Id="rId2" Type="http://schemas.openxmlformats.org/officeDocument/2006/relationships/hyperlink" Target="https://www.gov.scot/publications/community-justice-performance-framework/pages/1/" TargetMode="External"/><Relationship Id="rId1" Type="http://schemas.openxmlformats.org/officeDocument/2006/relationships/hyperlink" Target="https://www.legislation.gov.uk/asp/2016/10" TargetMode="External"/><Relationship Id="rId5" Type="http://schemas.openxmlformats.org/officeDocument/2006/relationships/hyperlink" Target="https://www.gov.scot/publications/national-strategy-community-justice-2/pages/1/" TargetMode="External"/><Relationship Id="rId4" Type="http://schemas.openxmlformats.org/officeDocument/2006/relationships/hyperlink" Target="https://www.careinspectorate.com/images/documents/7234/A%20self-evaluation%20guide%20to%20support%20quality%20improvement%20for%20community%20justice%20in%20Scotland%20NOVEMBER%2023.pdf" TargetMode="External"/></Relationships>
</file>

<file path=word/diagrams/_rels/drawing1.xml.rels><?xml version="1.0" encoding="UTF-8" standalone="yes"?>
<Relationships xmlns="http://schemas.openxmlformats.org/package/2006/relationships"><Relationship Id="rId3" Type="http://schemas.openxmlformats.org/officeDocument/2006/relationships/hyperlink" Target="https://www.gov.scot/publications/community-justice-performance-framework/pages/1/" TargetMode="External"/><Relationship Id="rId2" Type="http://schemas.openxmlformats.org/officeDocument/2006/relationships/hyperlink" Target="https://www.gov.scot/publications/national-strategy-community-justice-2/pages/1/" TargetMode="External"/><Relationship Id="rId1" Type="http://schemas.openxmlformats.org/officeDocument/2006/relationships/hyperlink" Target="https://www.legislation.gov.uk/asp/2016/10" TargetMode="External"/><Relationship Id="rId5" Type="http://schemas.openxmlformats.org/officeDocument/2006/relationships/hyperlink" Target="https://www.careinspectorate.com/images/documents/7234/A%20self-evaluation%20guide%20to%20support%20quality%20improvement%20for%20community%20justice%20in%20Scotland%20NOVEMBER%2023.pdf" TargetMode="External"/><Relationship Id="rId4" Type="http://schemas.openxmlformats.org/officeDocument/2006/relationships/hyperlink" Target="https://communityjustice.scot/learning-hub/data-and-innovation/a-community-justice-improvement-tool-local-evidence-for-national-outcomes-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5380B7-1C4C-4D17-97B8-0AB567B4555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20228147-3B53-4874-94A3-72F6B298D1CE}">
      <dgm:prSet custT="1"/>
      <dgm:spPr>
        <a:solidFill>
          <a:schemeClr val="accent6">
            <a:lumMod val="40000"/>
            <a:lumOff val="60000"/>
            <a:alpha val="60000"/>
          </a:schemeClr>
        </a:solidFill>
      </dgm:spPr>
      <dgm:t>
        <a:bodyPr/>
        <a:lstStyle/>
        <a:p>
          <a:r>
            <a:rPr lang="en-GB" sz="1200" b="1" dirty="0">
              <a:solidFill>
                <a:schemeClr val="tx1"/>
              </a:solidFill>
              <a:latin typeface="Roboto" panose="02000000000000000000" pitchFamily="2" charset="0"/>
              <a:ea typeface="Roboto" panose="02000000000000000000" pitchFamily="2" charset="0"/>
              <a:hlinkClick xmlns:r="http://schemas.openxmlformats.org/officeDocument/2006/relationships" r:id="rId1"/>
            </a:rPr>
            <a:t>Community Justice (Scotland) Act 2016</a:t>
          </a:r>
          <a:endParaRPr lang="en-GB" sz="1200" b="1" dirty="0">
            <a:solidFill>
              <a:schemeClr val="tx1"/>
            </a:solidFill>
            <a:latin typeface="Roboto" panose="02000000000000000000" pitchFamily="2" charset="0"/>
            <a:ea typeface="Roboto" panose="02000000000000000000" pitchFamily="2" charset="0"/>
          </a:endParaRPr>
        </a:p>
      </dgm:t>
    </dgm:pt>
    <dgm:pt modelId="{3B36AE05-3ECB-4579-A14B-9CBF291F276A}" type="parTrans" cxnId="{FE56118E-A0E6-46BC-B89E-3391545B98B9}">
      <dgm:prSet/>
      <dgm:spPr/>
      <dgm:t>
        <a:bodyPr/>
        <a:lstStyle/>
        <a:p>
          <a:endParaRPr lang="en-GB"/>
        </a:p>
      </dgm:t>
    </dgm:pt>
    <dgm:pt modelId="{C1E1707D-183D-4445-AE12-64B61EFBB1EA}" type="sibTrans" cxnId="{FE56118E-A0E6-46BC-B89E-3391545B98B9}">
      <dgm:prSet/>
      <dgm:spPr/>
      <dgm:t>
        <a:bodyPr/>
        <a:lstStyle/>
        <a:p>
          <a:endParaRPr lang="en-GB"/>
        </a:p>
      </dgm:t>
    </dgm:pt>
    <dgm:pt modelId="{9283B150-E17E-4135-93E0-B70F9F1DCE37}">
      <dgm:prSet custT="1"/>
      <dgm:spPr>
        <a:solidFill>
          <a:srgbClr val="FF8200">
            <a:alpha val="60000"/>
          </a:srgbClr>
        </a:solidFill>
      </dgm:spPr>
      <dgm:t>
        <a:bodyPr/>
        <a:lstStyle/>
        <a:p>
          <a:r>
            <a:rPr lang="en-GB" sz="1200" b="1" dirty="0">
              <a:solidFill>
                <a:schemeClr val="tx1"/>
              </a:solidFill>
              <a:latin typeface="Roboto" panose="02000000000000000000" pitchFamily="2" charset="0"/>
              <a:ea typeface="Roboto" panose="02000000000000000000" pitchFamily="2" charset="0"/>
              <a:hlinkClick xmlns:r="http://schemas.openxmlformats.org/officeDocument/2006/relationships" r:id="rId2">
                <a:extLst>
                  <a:ext uri="{A12FA001-AC4F-418D-AE19-62706E023703}">
                    <ahyp:hlinkClr xmlns:ahyp="http://schemas.microsoft.com/office/drawing/2018/hyperlinkcolor" val="tx"/>
                  </a:ext>
                </a:extLst>
              </a:hlinkClick>
            </a:rPr>
            <a:t>Community Justice Performance Framework</a:t>
          </a:r>
          <a:endParaRPr lang="en-GB" sz="1200" b="1" dirty="0">
            <a:solidFill>
              <a:schemeClr val="tx1"/>
            </a:solidFill>
            <a:latin typeface="Roboto" panose="02000000000000000000" pitchFamily="2" charset="0"/>
            <a:ea typeface="Roboto" panose="02000000000000000000" pitchFamily="2" charset="0"/>
          </a:endParaRPr>
        </a:p>
      </dgm:t>
    </dgm:pt>
    <dgm:pt modelId="{271175D9-39EF-4D4F-83FF-7BE7A19FD925}" type="parTrans" cxnId="{75666E09-D27E-47FA-864E-9C23279ABE3B}">
      <dgm:prSet/>
      <dgm:spPr/>
      <dgm:t>
        <a:bodyPr/>
        <a:lstStyle/>
        <a:p>
          <a:endParaRPr lang="en-GB"/>
        </a:p>
      </dgm:t>
    </dgm:pt>
    <dgm:pt modelId="{061BCF7B-238D-4F77-9B6E-DA63F1EF92E8}" type="sibTrans" cxnId="{75666E09-D27E-47FA-864E-9C23279ABE3B}">
      <dgm:prSet/>
      <dgm:spPr/>
      <dgm:t>
        <a:bodyPr/>
        <a:lstStyle/>
        <a:p>
          <a:endParaRPr lang="en-GB"/>
        </a:p>
      </dgm:t>
    </dgm:pt>
    <dgm:pt modelId="{E97A6F8F-92AC-4314-BC1B-034EF037BB02}">
      <dgm:prSet custT="1"/>
      <dgm:spPr>
        <a:solidFill>
          <a:srgbClr val="CE0058">
            <a:alpha val="40000"/>
          </a:srgbClr>
        </a:solidFill>
      </dgm:spPr>
      <dgm:t>
        <a:bodyPr/>
        <a:lstStyle/>
        <a:p>
          <a:r>
            <a:rPr lang="en-GB" sz="1200" b="1" dirty="0">
              <a:solidFill>
                <a:schemeClr val="tx1"/>
              </a:solidFill>
              <a:latin typeface="Roboto" panose="02000000000000000000" pitchFamily="2" charset="0"/>
              <a:ea typeface="Roboto" panose="02000000000000000000" pitchFamily="2" charset="0"/>
              <a:hlinkClick xmlns:r="http://schemas.openxmlformats.org/officeDocument/2006/relationships" r:id="rId3">
                <a:extLst>
                  <a:ext uri="{A12FA001-AC4F-418D-AE19-62706E023703}">
                    <ahyp:hlinkClr xmlns:ahyp="http://schemas.microsoft.com/office/drawing/2018/hyperlinkcolor" val="tx"/>
                  </a:ext>
                </a:extLst>
              </a:hlinkClick>
            </a:rPr>
            <a:t>Community Justice Improvement Tool</a:t>
          </a:r>
          <a:endParaRPr lang="en-GB" sz="1200" b="1" dirty="0">
            <a:solidFill>
              <a:schemeClr val="tx1"/>
            </a:solidFill>
            <a:latin typeface="Roboto" panose="02000000000000000000" pitchFamily="2" charset="0"/>
            <a:ea typeface="Roboto" panose="02000000000000000000" pitchFamily="2" charset="0"/>
          </a:endParaRPr>
        </a:p>
      </dgm:t>
    </dgm:pt>
    <dgm:pt modelId="{8CDEC2A3-43E8-43E5-A45C-04B10AE2E742}" type="parTrans" cxnId="{294E8672-C7E9-4CA9-88E3-4065FB2C0F0D}">
      <dgm:prSet/>
      <dgm:spPr/>
      <dgm:t>
        <a:bodyPr/>
        <a:lstStyle/>
        <a:p>
          <a:endParaRPr lang="en-GB"/>
        </a:p>
      </dgm:t>
    </dgm:pt>
    <dgm:pt modelId="{59E5F80B-4EA0-486E-B0B8-5E4F23159BDD}" type="sibTrans" cxnId="{294E8672-C7E9-4CA9-88E3-4065FB2C0F0D}">
      <dgm:prSet/>
      <dgm:spPr/>
      <dgm:t>
        <a:bodyPr/>
        <a:lstStyle/>
        <a:p>
          <a:endParaRPr lang="en-GB"/>
        </a:p>
      </dgm:t>
    </dgm:pt>
    <dgm:pt modelId="{D0E51AF7-3602-4353-9995-1E3CF0B4F4E9}">
      <dgm:prSet custT="1"/>
      <dgm:spPr>
        <a:solidFill>
          <a:schemeClr val="accent4">
            <a:lumMod val="40000"/>
            <a:lumOff val="60000"/>
            <a:alpha val="41000"/>
          </a:schemeClr>
        </a:solidFill>
      </dgm:spPr>
      <dgm:t>
        <a:bodyPr/>
        <a:lstStyle/>
        <a:p>
          <a:r>
            <a:rPr lang="en-GB" sz="1200" b="1" dirty="0">
              <a:solidFill>
                <a:schemeClr val="tx1"/>
              </a:solidFill>
              <a:latin typeface="Roboto" panose="02000000000000000000" pitchFamily="2" charset="0"/>
              <a:ea typeface="Roboto" panose="02000000000000000000" pitchFamily="2" charset="0"/>
              <a:hlinkClick xmlns:r="http://schemas.openxmlformats.org/officeDocument/2006/relationships" r:id="rId4"/>
            </a:rPr>
            <a:t>A guide to self-evaluation for community justice in Scotland</a:t>
          </a:r>
          <a:endParaRPr lang="en-GB" sz="1200" b="1" dirty="0">
            <a:solidFill>
              <a:schemeClr val="tx1"/>
            </a:solidFill>
            <a:latin typeface="Roboto" panose="02000000000000000000" pitchFamily="2" charset="0"/>
            <a:ea typeface="Roboto" panose="02000000000000000000" pitchFamily="2" charset="0"/>
          </a:endParaRPr>
        </a:p>
      </dgm:t>
    </dgm:pt>
    <dgm:pt modelId="{EABB79BB-F5B9-46E5-B980-3D82CCB5BD15}" type="parTrans" cxnId="{2F99670D-8120-41FB-91B0-63FEB70AE17E}">
      <dgm:prSet/>
      <dgm:spPr/>
      <dgm:t>
        <a:bodyPr/>
        <a:lstStyle/>
        <a:p>
          <a:endParaRPr lang="en-GB"/>
        </a:p>
      </dgm:t>
    </dgm:pt>
    <dgm:pt modelId="{E74A1015-5389-48CC-BA08-8CA1B873CCB9}" type="sibTrans" cxnId="{2F99670D-8120-41FB-91B0-63FEB70AE17E}">
      <dgm:prSet/>
      <dgm:spPr/>
      <dgm:t>
        <a:bodyPr/>
        <a:lstStyle/>
        <a:p>
          <a:endParaRPr lang="en-GB"/>
        </a:p>
      </dgm:t>
    </dgm:pt>
    <dgm:pt modelId="{D0E4F957-F381-4324-9F87-7E3EF965940D}">
      <dgm:prSet custT="1"/>
      <dgm:spPr>
        <a:solidFill>
          <a:srgbClr val="FFB81C">
            <a:alpha val="60000"/>
          </a:srgbClr>
        </a:solidFill>
      </dgm:spPr>
      <dgm:t>
        <a:bodyPr/>
        <a:lstStyle/>
        <a:p>
          <a:r>
            <a:rPr lang="en-GB" sz="1200" b="1" dirty="0">
              <a:solidFill>
                <a:schemeClr val="tx1"/>
              </a:solidFill>
              <a:latin typeface="Roboto" panose="02000000000000000000" pitchFamily="2" charset="0"/>
              <a:ea typeface="Roboto" panose="02000000000000000000" pitchFamily="2" charset="0"/>
              <a:hlinkClick xmlns:r="http://schemas.openxmlformats.org/officeDocument/2006/relationships" r:id="rId5"/>
            </a:rPr>
            <a:t>National Strategy for Community Justice</a:t>
          </a:r>
          <a:endParaRPr lang="en-GB" sz="1200" b="1" dirty="0">
            <a:solidFill>
              <a:schemeClr val="tx1"/>
            </a:solidFill>
            <a:latin typeface="Roboto" panose="02000000000000000000" pitchFamily="2" charset="0"/>
            <a:ea typeface="Roboto" panose="02000000000000000000" pitchFamily="2" charset="0"/>
          </a:endParaRPr>
        </a:p>
      </dgm:t>
    </dgm:pt>
    <dgm:pt modelId="{4D3B9906-7322-41C7-A84B-738E084B9D19}" type="parTrans" cxnId="{64C6EAF9-E317-4896-BAD3-40F9FB59EEDA}">
      <dgm:prSet/>
      <dgm:spPr/>
      <dgm:t>
        <a:bodyPr/>
        <a:lstStyle/>
        <a:p>
          <a:endParaRPr lang="en-GB"/>
        </a:p>
      </dgm:t>
    </dgm:pt>
    <dgm:pt modelId="{877CD15B-5B52-4B59-91B3-1637867E9467}" type="sibTrans" cxnId="{64C6EAF9-E317-4896-BAD3-40F9FB59EEDA}">
      <dgm:prSet/>
      <dgm:spPr/>
      <dgm:t>
        <a:bodyPr/>
        <a:lstStyle/>
        <a:p>
          <a:endParaRPr lang="en-GB"/>
        </a:p>
      </dgm:t>
    </dgm:pt>
    <dgm:pt modelId="{76581E19-D34D-4795-9668-25C3DF199BE7}">
      <dgm:prSet custT="1"/>
      <dgm:spPr>
        <a:noFill/>
        <a:ln>
          <a:noFill/>
        </a:ln>
      </dgm:spPr>
      <dgm:t>
        <a:bodyPr/>
        <a:lstStyle/>
        <a:p>
          <a:r>
            <a:rPr lang="en-GB" sz="1200" dirty="0">
              <a:solidFill>
                <a:schemeClr val="tx1"/>
              </a:solidFill>
              <a:latin typeface="Roboto" panose="02000000000000000000" pitchFamily="2" charset="0"/>
              <a:ea typeface="Roboto" panose="02000000000000000000" pitchFamily="2" charset="0"/>
            </a:rPr>
            <a:t>establishes the statutory duties of community justice partners</a:t>
          </a:r>
          <a:endParaRPr lang="en-GB" sz="1200" dirty="0"/>
        </a:p>
      </dgm:t>
    </dgm:pt>
    <dgm:pt modelId="{DB322C7B-C86E-4394-ABEF-D3D072E72608}" type="parTrans" cxnId="{177756C2-2BE0-4D7E-9349-0F3A54A703DE}">
      <dgm:prSet/>
      <dgm:spPr/>
      <dgm:t>
        <a:bodyPr/>
        <a:lstStyle/>
        <a:p>
          <a:endParaRPr lang="en-GB"/>
        </a:p>
      </dgm:t>
    </dgm:pt>
    <dgm:pt modelId="{9B63B902-4FDD-408F-8783-8ACEE4339DA9}" type="sibTrans" cxnId="{177756C2-2BE0-4D7E-9349-0F3A54A703DE}">
      <dgm:prSet/>
      <dgm:spPr/>
      <dgm:t>
        <a:bodyPr/>
        <a:lstStyle/>
        <a:p>
          <a:endParaRPr lang="en-GB"/>
        </a:p>
      </dgm:t>
    </dgm:pt>
    <dgm:pt modelId="{25BC4A43-FB0A-47BB-896D-5FFCAEE99023}">
      <dgm:prSet custT="1"/>
      <dgm:spPr>
        <a:noFill/>
        <a:ln>
          <a:noFill/>
        </a:ln>
      </dgm:spPr>
      <dgm:t>
        <a:bodyPr/>
        <a:lstStyle/>
        <a:p>
          <a:r>
            <a:rPr lang="en-GB" sz="1200" dirty="0">
              <a:solidFill>
                <a:schemeClr val="tx1"/>
              </a:solidFill>
              <a:latin typeface="Roboto" panose="02000000000000000000" pitchFamily="2" charset="0"/>
              <a:ea typeface="Roboto" panose="02000000000000000000" pitchFamily="2" charset="0"/>
            </a:rPr>
            <a:t>sets out the national aims and priority actions</a:t>
          </a:r>
          <a:endParaRPr lang="en-GB" sz="1200" dirty="0"/>
        </a:p>
      </dgm:t>
    </dgm:pt>
    <dgm:pt modelId="{A8E2DC4A-5E2F-4C4A-981B-99CDDC802DA1}" type="parTrans" cxnId="{32D16ECB-2DF7-4A2F-AEFD-58E8F2BA41E2}">
      <dgm:prSet/>
      <dgm:spPr/>
      <dgm:t>
        <a:bodyPr/>
        <a:lstStyle/>
        <a:p>
          <a:endParaRPr lang="en-GB"/>
        </a:p>
      </dgm:t>
    </dgm:pt>
    <dgm:pt modelId="{0883A54A-A515-4A02-ADAE-C48BB4DDD3C4}" type="sibTrans" cxnId="{32D16ECB-2DF7-4A2F-AEFD-58E8F2BA41E2}">
      <dgm:prSet/>
      <dgm:spPr/>
      <dgm:t>
        <a:bodyPr/>
        <a:lstStyle/>
        <a:p>
          <a:endParaRPr lang="en-GB"/>
        </a:p>
      </dgm:t>
    </dgm:pt>
    <dgm:pt modelId="{95AC533D-ADF1-46A1-96A7-58ED29F3F0FC}">
      <dgm:prSet custT="1"/>
      <dgm:spPr>
        <a:noFill/>
        <a:ln>
          <a:noFill/>
        </a:ln>
      </dgm:spPr>
      <dgm:t>
        <a:bodyPr/>
        <a:lstStyle/>
        <a:p>
          <a:r>
            <a:rPr lang="en-GB" sz="1200" dirty="0">
              <a:solidFill>
                <a:schemeClr val="tx1"/>
              </a:solidFill>
              <a:latin typeface="Roboto" panose="02000000000000000000" pitchFamily="2" charset="0"/>
              <a:ea typeface="Roboto" panose="02000000000000000000" pitchFamily="2" charset="0"/>
            </a:rPr>
            <a:t>sets out what outcomes should be achieved, and how they will be measured</a:t>
          </a:r>
          <a:endParaRPr lang="en-GB" sz="1200" dirty="0"/>
        </a:p>
      </dgm:t>
    </dgm:pt>
    <dgm:pt modelId="{EA5C5F17-4E0D-4A36-B40D-6C1346002B6C}" type="parTrans" cxnId="{32B01788-8598-48EB-AE19-ACED602814E7}">
      <dgm:prSet/>
      <dgm:spPr/>
      <dgm:t>
        <a:bodyPr/>
        <a:lstStyle/>
        <a:p>
          <a:endParaRPr lang="en-GB"/>
        </a:p>
      </dgm:t>
    </dgm:pt>
    <dgm:pt modelId="{FF9996FD-8427-4E4B-9BBA-A67BAC08CF69}" type="sibTrans" cxnId="{32B01788-8598-48EB-AE19-ACED602814E7}">
      <dgm:prSet/>
      <dgm:spPr/>
      <dgm:t>
        <a:bodyPr/>
        <a:lstStyle/>
        <a:p>
          <a:endParaRPr lang="en-GB"/>
        </a:p>
      </dgm:t>
    </dgm:pt>
    <dgm:pt modelId="{7210D2A4-A95F-4CC3-BDB5-946AB8CB5FE2}">
      <dgm:prSet custT="1"/>
      <dgm:spPr>
        <a:noFill/>
        <a:ln>
          <a:noFill/>
        </a:ln>
      </dgm:spPr>
      <dgm:t>
        <a:bodyPr/>
        <a:lstStyle/>
        <a:p>
          <a:r>
            <a:rPr lang="en-GB" sz="1200" dirty="0">
              <a:solidFill>
                <a:schemeClr val="tx1"/>
              </a:solidFill>
              <a:latin typeface="Roboto" panose="02000000000000000000" pitchFamily="2" charset="0"/>
              <a:ea typeface="Roboto" panose="02000000000000000000" pitchFamily="2" charset="0"/>
            </a:rPr>
            <a:t>identifies local evidence to enable local improvement in delivery</a:t>
          </a:r>
          <a:endParaRPr lang="en-GB" sz="1200" dirty="0"/>
        </a:p>
      </dgm:t>
    </dgm:pt>
    <dgm:pt modelId="{ECBA0BCB-5819-483C-BE45-8BE464F705B5}" type="parTrans" cxnId="{F678711E-02E7-4A2F-AB09-542CB2813137}">
      <dgm:prSet/>
      <dgm:spPr/>
      <dgm:t>
        <a:bodyPr/>
        <a:lstStyle/>
        <a:p>
          <a:endParaRPr lang="en-GB"/>
        </a:p>
      </dgm:t>
    </dgm:pt>
    <dgm:pt modelId="{BDD6CC2D-D944-4D0A-AFA5-4F92D5B5CD9B}" type="sibTrans" cxnId="{F678711E-02E7-4A2F-AB09-542CB2813137}">
      <dgm:prSet/>
      <dgm:spPr/>
      <dgm:t>
        <a:bodyPr/>
        <a:lstStyle/>
        <a:p>
          <a:endParaRPr lang="en-GB"/>
        </a:p>
      </dgm:t>
    </dgm:pt>
    <dgm:pt modelId="{6493DEC8-7079-4AF9-8971-C815383389C7}">
      <dgm:prSet custT="1"/>
      <dgm:spPr>
        <a:noFill/>
        <a:ln>
          <a:noFill/>
        </a:ln>
      </dgm:spPr>
      <dgm:t>
        <a:bodyPr/>
        <a:lstStyle/>
        <a:p>
          <a:r>
            <a:rPr lang="en-GB" sz="1200" dirty="0">
              <a:solidFill>
                <a:schemeClr val="tx1"/>
              </a:solidFill>
              <a:latin typeface="Roboto" panose="02000000000000000000" pitchFamily="2" charset="0"/>
              <a:ea typeface="Roboto" panose="02000000000000000000" pitchFamily="2" charset="0"/>
            </a:rPr>
            <a:t>supports partnerships to evaluate their effectiveness</a:t>
          </a:r>
          <a:endParaRPr lang="en-GB" sz="1200" dirty="0"/>
        </a:p>
      </dgm:t>
    </dgm:pt>
    <dgm:pt modelId="{3D3CA1FE-4CE4-4BCB-88EF-D379040A19D1}" type="parTrans" cxnId="{E7617527-87A5-4285-89DD-F167C49F3E1E}">
      <dgm:prSet/>
      <dgm:spPr/>
      <dgm:t>
        <a:bodyPr/>
        <a:lstStyle/>
        <a:p>
          <a:endParaRPr lang="en-GB"/>
        </a:p>
      </dgm:t>
    </dgm:pt>
    <dgm:pt modelId="{AB5AF41D-56A3-4CD9-B43A-D274EFBD6D30}" type="sibTrans" cxnId="{E7617527-87A5-4285-89DD-F167C49F3E1E}">
      <dgm:prSet/>
      <dgm:spPr/>
      <dgm:t>
        <a:bodyPr/>
        <a:lstStyle/>
        <a:p>
          <a:endParaRPr lang="en-GB"/>
        </a:p>
      </dgm:t>
    </dgm:pt>
    <dgm:pt modelId="{D4EC2D21-598B-4D97-AD60-A992FBDFD42A}" type="pres">
      <dgm:prSet presAssocID="{5B5380B7-1C4C-4D17-97B8-0AB567B45550}" presName="linear" presStyleCnt="0">
        <dgm:presLayoutVars>
          <dgm:dir/>
          <dgm:animLvl val="lvl"/>
          <dgm:resizeHandles val="exact"/>
        </dgm:presLayoutVars>
      </dgm:prSet>
      <dgm:spPr/>
    </dgm:pt>
    <dgm:pt modelId="{114B6739-DFE6-48B8-93B0-18F185C7FED6}" type="pres">
      <dgm:prSet presAssocID="{20228147-3B53-4874-94A3-72F6B298D1CE}" presName="parentLin" presStyleCnt="0"/>
      <dgm:spPr/>
    </dgm:pt>
    <dgm:pt modelId="{2817534F-B06A-40BB-AC7C-C66FC623F1C0}" type="pres">
      <dgm:prSet presAssocID="{20228147-3B53-4874-94A3-72F6B298D1CE}" presName="parentLeftMargin" presStyleLbl="node1" presStyleIdx="0" presStyleCnt="5"/>
      <dgm:spPr/>
    </dgm:pt>
    <dgm:pt modelId="{DF4D89F0-6374-4F3D-B111-71C6E2E44FFB}" type="pres">
      <dgm:prSet presAssocID="{20228147-3B53-4874-94A3-72F6B298D1CE}" presName="parentText" presStyleLbl="node1" presStyleIdx="0" presStyleCnt="5" custLinFactX="9715" custLinFactNeighborX="100000">
        <dgm:presLayoutVars>
          <dgm:chMax val="0"/>
          <dgm:bulletEnabled val="1"/>
        </dgm:presLayoutVars>
      </dgm:prSet>
      <dgm:spPr/>
    </dgm:pt>
    <dgm:pt modelId="{17035E3A-4857-4662-9008-218666946FA3}" type="pres">
      <dgm:prSet presAssocID="{20228147-3B53-4874-94A3-72F6B298D1CE}" presName="negativeSpace" presStyleCnt="0"/>
      <dgm:spPr/>
    </dgm:pt>
    <dgm:pt modelId="{82A24D10-1F9B-4D7A-A793-DE1B07CE295D}" type="pres">
      <dgm:prSet presAssocID="{20228147-3B53-4874-94A3-72F6B298D1CE}" presName="childText" presStyleLbl="conFgAcc1" presStyleIdx="0" presStyleCnt="5" custScaleX="81219" custLinFactNeighborX="11802">
        <dgm:presLayoutVars>
          <dgm:bulletEnabled val="1"/>
        </dgm:presLayoutVars>
      </dgm:prSet>
      <dgm:spPr/>
    </dgm:pt>
    <dgm:pt modelId="{1885B9CC-3D36-46FD-9134-BCAADC962E48}" type="pres">
      <dgm:prSet presAssocID="{C1E1707D-183D-4445-AE12-64B61EFBB1EA}" presName="spaceBetweenRectangles" presStyleCnt="0"/>
      <dgm:spPr/>
    </dgm:pt>
    <dgm:pt modelId="{2FF43426-6E4F-4D28-A26C-47572FBC7BA9}" type="pres">
      <dgm:prSet presAssocID="{D0E4F957-F381-4324-9F87-7E3EF965940D}" presName="parentLin" presStyleCnt="0"/>
      <dgm:spPr/>
    </dgm:pt>
    <dgm:pt modelId="{908F4D0E-A3EF-4BD9-AB2F-0B0C8D2F413F}" type="pres">
      <dgm:prSet presAssocID="{D0E4F957-F381-4324-9F87-7E3EF965940D}" presName="parentLeftMargin" presStyleLbl="node1" presStyleIdx="0" presStyleCnt="5"/>
      <dgm:spPr/>
    </dgm:pt>
    <dgm:pt modelId="{ECEAFDBB-C6E4-4E48-B698-2F916B5AAF15}" type="pres">
      <dgm:prSet presAssocID="{D0E4F957-F381-4324-9F87-7E3EF965940D}" presName="parentText" presStyleLbl="node1" presStyleIdx="1" presStyleCnt="5" custLinFactX="9715" custLinFactNeighborX="100000">
        <dgm:presLayoutVars>
          <dgm:chMax val="0"/>
          <dgm:bulletEnabled val="1"/>
        </dgm:presLayoutVars>
      </dgm:prSet>
      <dgm:spPr/>
    </dgm:pt>
    <dgm:pt modelId="{78666885-4D0D-4A9E-AD3B-AF0D223A7C80}" type="pres">
      <dgm:prSet presAssocID="{D0E4F957-F381-4324-9F87-7E3EF965940D}" presName="negativeSpace" presStyleCnt="0"/>
      <dgm:spPr/>
    </dgm:pt>
    <dgm:pt modelId="{7769C254-D47B-4790-BC34-3F7AA3C333D2}" type="pres">
      <dgm:prSet presAssocID="{D0E4F957-F381-4324-9F87-7E3EF965940D}" presName="childText" presStyleLbl="conFgAcc1" presStyleIdx="1" presStyleCnt="5" custScaleX="79174" custScaleY="89735" custLinFactNeighborX="11802">
        <dgm:presLayoutVars>
          <dgm:bulletEnabled val="1"/>
        </dgm:presLayoutVars>
      </dgm:prSet>
      <dgm:spPr/>
    </dgm:pt>
    <dgm:pt modelId="{528EF994-9507-40CE-86F5-B8B693092E0D}" type="pres">
      <dgm:prSet presAssocID="{877CD15B-5B52-4B59-91B3-1637867E9467}" presName="spaceBetweenRectangles" presStyleCnt="0"/>
      <dgm:spPr/>
    </dgm:pt>
    <dgm:pt modelId="{80221490-2A43-454C-9D4A-DE2804C7C7C1}" type="pres">
      <dgm:prSet presAssocID="{9283B150-E17E-4135-93E0-B70F9F1DCE37}" presName="parentLin" presStyleCnt="0"/>
      <dgm:spPr/>
    </dgm:pt>
    <dgm:pt modelId="{0A2ABD52-AD8F-4F6B-9D63-ED35AE907B83}" type="pres">
      <dgm:prSet presAssocID="{9283B150-E17E-4135-93E0-B70F9F1DCE37}" presName="parentLeftMargin" presStyleLbl="node1" presStyleIdx="1" presStyleCnt="5"/>
      <dgm:spPr/>
    </dgm:pt>
    <dgm:pt modelId="{74C77952-1974-47CE-8A0F-9EF7952E398C}" type="pres">
      <dgm:prSet presAssocID="{9283B150-E17E-4135-93E0-B70F9F1DCE37}" presName="parentText" presStyleLbl="node1" presStyleIdx="2" presStyleCnt="5" custLinFactX="9715" custLinFactNeighborX="100000">
        <dgm:presLayoutVars>
          <dgm:chMax val="0"/>
          <dgm:bulletEnabled val="1"/>
        </dgm:presLayoutVars>
      </dgm:prSet>
      <dgm:spPr/>
    </dgm:pt>
    <dgm:pt modelId="{66751AE7-9518-494C-819F-807A903D054F}" type="pres">
      <dgm:prSet presAssocID="{9283B150-E17E-4135-93E0-B70F9F1DCE37}" presName="negativeSpace" presStyleCnt="0"/>
      <dgm:spPr/>
    </dgm:pt>
    <dgm:pt modelId="{D663F0FB-25AE-42C3-A875-5C88CABB6178}" type="pres">
      <dgm:prSet presAssocID="{9283B150-E17E-4135-93E0-B70F9F1DCE37}" presName="childText" presStyleLbl="conFgAcc1" presStyleIdx="2" presStyleCnt="5" custScaleX="82096" custScaleY="71639" custLinFactNeighborX="11802">
        <dgm:presLayoutVars>
          <dgm:bulletEnabled val="1"/>
        </dgm:presLayoutVars>
      </dgm:prSet>
      <dgm:spPr/>
    </dgm:pt>
    <dgm:pt modelId="{84F25E95-A97B-4ACA-8675-0F54C9C3C2E3}" type="pres">
      <dgm:prSet presAssocID="{061BCF7B-238D-4F77-9B6E-DA63F1EF92E8}" presName="spaceBetweenRectangles" presStyleCnt="0"/>
      <dgm:spPr/>
    </dgm:pt>
    <dgm:pt modelId="{2FD68F01-82CB-4C1E-B8F5-559EE16C4C69}" type="pres">
      <dgm:prSet presAssocID="{E97A6F8F-92AC-4314-BC1B-034EF037BB02}" presName="parentLin" presStyleCnt="0"/>
      <dgm:spPr/>
    </dgm:pt>
    <dgm:pt modelId="{0C4CE193-BB59-4BC8-8B97-143D82E16B10}" type="pres">
      <dgm:prSet presAssocID="{E97A6F8F-92AC-4314-BC1B-034EF037BB02}" presName="parentLeftMargin" presStyleLbl="node1" presStyleIdx="2" presStyleCnt="5"/>
      <dgm:spPr/>
    </dgm:pt>
    <dgm:pt modelId="{5DE53DAF-BF2F-4CD2-9E7B-5F3F309B15B9}" type="pres">
      <dgm:prSet presAssocID="{E97A6F8F-92AC-4314-BC1B-034EF037BB02}" presName="parentText" presStyleLbl="node1" presStyleIdx="3" presStyleCnt="5" custLinFactX="9715" custLinFactNeighborX="100000">
        <dgm:presLayoutVars>
          <dgm:chMax val="0"/>
          <dgm:bulletEnabled val="1"/>
        </dgm:presLayoutVars>
      </dgm:prSet>
      <dgm:spPr/>
    </dgm:pt>
    <dgm:pt modelId="{306AD142-8E1C-4711-85CE-6D86C1163EBD}" type="pres">
      <dgm:prSet presAssocID="{E97A6F8F-92AC-4314-BC1B-034EF037BB02}" presName="negativeSpace" presStyleCnt="0"/>
      <dgm:spPr/>
    </dgm:pt>
    <dgm:pt modelId="{EA0D5443-792D-41C6-956C-242657A5EFA7}" type="pres">
      <dgm:prSet presAssocID="{E97A6F8F-92AC-4314-BC1B-034EF037BB02}" presName="childText" presStyleLbl="conFgAcc1" presStyleIdx="3" presStyleCnt="5" custScaleX="82179" custLinFactNeighborX="11802">
        <dgm:presLayoutVars>
          <dgm:bulletEnabled val="1"/>
        </dgm:presLayoutVars>
      </dgm:prSet>
      <dgm:spPr/>
    </dgm:pt>
    <dgm:pt modelId="{5D1A6D9F-B1E8-4003-8248-4BAD7789B43A}" type="pres">
      <dgm:prSet presAssocID="{59E5F80B-4EA0-486E-B0B8-5E4F23159BDD}" presName="spaceBetweenRectangles" presStyleCnt="0"/>
      <dgm:spPr/>
    </dgm:pt>
    <dgm:pt modelId="{F5549B8E-1E36-4CDD-A287-AC5EEC7761D0}" type="pres">
      <dgm:prSet presAssocID="{D0E51AF7-3602-4353-9995-1E3CF0B4F4E9}" presName="parentLin" presStyleCnt="0"/>
      <dgm:spPr/>
    </dgm:pt>
    <dgm:pt modelId="{8D2F1753-8FEC-4D34-95FF-F9CB835EA384}" type="pres">
      <dgm:prSet presAssocID="{D0E51AF7-3602-4353-9995-1E3CF0B4F4E9}" presName="parentLeftMargin" presStyleLbl="node1" presStyleIdx="3" presStyleCnt="5"/>
      <dgm:spPr/>
    </dgm:pt>
    <dgm:pt modelId="{9130DD51-9BA7-4061-A3FB-9480D2D6187C}" type="pres">
      <dgm:prSet presAssocID="{D0E51AF7-3602-4353-9995-1E3CF0B4F4E9}" presName="parentText" presStyleLbl="node1" presStyleIdx="4" presStyleCnt="5" custLinFactX="9715" custLinFactNeighborX="100000">
        <dgm:presLayoutVars>
          <dgm:chMax val="0"/>
          <dgm:bulletEnabled val="1"/>
        </dgm:presLayoutVars>
      </dgm:prSet>
      <dgm:spPr/>
    </dgm:pt>
    <dgm:pt modelId="{29887A73-F810-48E7-9F4D-595FEA1CC772}" type="pres">
      <dgm:prSet presAssocID="{D0E51AF7-3602-4353-9995-1E3CF0B4F4E9}" presName="negativeSpace" presStyleCnt="0"/>
      <dgm:spPr/>
    </dgm:pt>
    <dgm:pt modelId="{93A544B5-AC71-4BF6-A8F6-838871036AC3}" type="pres">
      <dgm:prSet presAssocID="{D0E51AF7-3602-4353-9995-1E3CF0B4F4E9}" presName="childText" presStyleLbl="conFgAcc1" presStyleIdx="4" presStyleCnt="5" custScaleX="80927" custLinFactNeighborX="11802">
        <dgm:presLayoutVars>
          <dgm:bulletEnabled val="1"/>
        </dgm:presLayoutVars>
      </dgm:prSet>
      <dgm:spPr/>
    </dgm:pt>
  </dgm:ptLst>
  <dgm:cxnLst>
    <dgm:cxn modelId="{75666E09-D27E-47FA-864E-9C23279ABE3B}" srcId="{5B5380B7-1C4C-4D17-97B8-0AB567B45550}" destId="{9283B150-E17E-4135-93E0-B70F9F1DCE37}" srcOrd="2" destOrd="0" parTransId="{271175D9-39EF-4D4F-83FF-7BE7A19FD925}" sibTransId="{061BCF7B-238D-4F77-9B6E-DA63F1EF92E8}"/>
    <dgm:cxn modelId="{2F99670D-8120-41FB-91B0-63FEB70AE17E}" srcId="{5B5380B7-1C4C-4D17-97B8-0AB567B45550}" destId="{D0E51AF7-3602-4353-9995-1E3CF0B4F4E9}" srcOrd="4" destOrd="0" parTransId="{EABB79BB-F5B9-46E5-B980-3D82CCB5BD15}" sibTransId="{E74A1015-5389-48CC-BA08-8CA1B873CCB9}"/>
    <dgm:cxn modelId="{F12AF111-31CF-4C44-9C02-02A851149837}" type="presOf" srcId="{76581E19-D34D-4795-9668-25C3DF199BE7}" destId="{82A24D10-1F9B-4D7A-A793-DE1B07CE295D}" srcOrd="0" destOrd="0" presId="urn:microsoft.com/office/officeart/2005/8/layout/list1"/>
    <dgm:cxn modelId="{F678711E-02E7-4A2F-AB09-542CB2813137}" srcId="{E97A6F8F-92AC-4314-BC1B-034EF037BB02}" destId="{7210D2A4-A95F-4CC3-BDB5-946AB8CB5FE2}" srcOrd="0" destOrd="0" parTransId="{ECBA0BCB-5819-483C-BE45-8BE464F705B5}" sibTransId="{BDD6CC2D-D944-4D0A-AFA5-4F92D5B5CD9B}"/>
    <dgm:cxn modelId="{7D750A21-0160-403F-BDDC-56F40B4960F5}" type="presOf" srcId="{20228147-3B53-4874-94A3-72F6B298D1CE}" destId="{2817534F-B06A-40BB-AC7C-C66FC623F1C0}" srcOrd="0" destOrd="0" presId="urn:microsoft.com/office/officeart/2005/8/layout/list1"/>
    <dgm:cxn modelId="{C7E72E26-68E8-4B18-9A8E-63EFF65A4DC2}" type="presOf" srcId="{20228147-3B53-4874-94A3-72F6B298D1CE}" destId="{DF4D89F0-6374-4F3D-B111-71C6E2E44FFB}" srcOrd="1" destOrd="0" presId="urn:microsoft.com/office/officeart/2005/8/layout/list1"/>
    <dgm:cxn modelId="{87035526-3CC7-47FA-A9E8-AC30501879A0}" type="presOf" srcId="{25BC4A43-FB0A-47BB-896D-5FFCAEE99023}" destId="{7769C254-D47B-4790-BC34-3F7AA3C333D2}" srcOrd="0" destOrd="0" presId="urn:microsoft.com/office/officeart/2005/8/layout/list1"/>
    <dgm:cxn modelId="{E7617527-87A5-4285-89DD-F167C49F3E1E}" srcId="{D0E51AF7-3602-4353-9995-1E3CF0B4F4E9}" destId="{6493DEC8-7079-4AF9-8971-C815383389C7}" srcOrd="0" destOrd="0" parTransId="{3D3CA1FE-4CE4-4BCB-88EF-D379040A19D1}" sibTransId="{AB5AF41D-56A3-4CD9-B43A-D274EFBD6D30}"/>
    <dgm:cxn modelId="{FA201C2F-AEAF-4171-AEC9-C31F8828FB70}" type="presOf" srcId="{D0E51AF7-3602-4353-9995-1E3CF0B4F4E9}" destId="{9130DD51-9BA7-4061-A3FB-9480D2D6187C}" srcOrd="1" destOrd="0" presId="urn:microsoft.com/office/officeart/2005/8/layout/list1"/>
    <dgm:cxn modelId="{DBC0BE2F-3D2F-4BB3-B19F-3C699DFB1572}" type="presOf" srcId="{9283B150-E17E-4135-93E0-B70F9F1DCE37}" destId="{74C77952-1974-47CE-8A0F-9EF7952E398C}" srcOrd="1" destOrd="0" presId="urn:microsoft.com/office/officeart/2005/8/layout/list1"/>
    <dgm:cxn modelId="{72E11F39-0605-4FFE-A668-5B6D628E2AF1}" type="presOf" srcId="{E97A6F8F-92AC-4314-BC1B-034EF037BB02}" destId="{5DE53DAF-BF2F-4CD2-9E7B-5F3F309B15B9}" srcOrd="1" destOrd="0" presId="urn:microsoft.com/office/officeart/2005/8/layout/list1"/>
    <dgm:cxn modelId="{7397E24B-3701-4171-9745-EE816C995FF1}" type="presOf" srcId="{6493DEC8-7079-4AF9-8971-C815383389C7}" destId="{93A544B5-AC71-4BF6-A8F6-838871036AC3}" srcOrd="0" destOrd="0" presId="urn:microsoft.com/office/officeart/2005/8/layout/list1"/>
    <dgm:cxn modelId="{79D56A4D-753B-4BEB-BB52-AC6CE096129A}" type="presOf" srcId="{95AC533D-ADF1-46A1-96A7-58ED29F3F0FC}" destId="{D663F0FB-25AE-42C3-A875-5C88CABB6178}" srcOrd="0" destOrd="0" presId="urn:microsoft.com/office/officeart/2005/8/layout/list1"/>
    <dgm:cxn modelId="{294E8672-C7E9-4CA9-88E3-4065FB2C0F0D}" srcId="{5B5380B7-1C4C-4D17-97B8-0AB567B45550}" destId="{E97A6F8F-92AC-4314-BC1B-034EF037BB02}" srcOrd="3" destOrd="0" parTransId="{8CDEC2A3-43E8-43E5-A45C-04B10AE2E742}" sibTransId="{59E5F80B-4EA0-486E-B0B8-5E4F23159BDD}"/>
    <dgm:cxn modelId="{B81CD355-6C2B-4BB5-A867-AE754BDBCFC7}" type="presOf" srcId="{D0E4F957-F381-4324-9F87-7E3EF965940D}" destId="{ECEAFDBB-C6E4-4E48-B698-2F916B5AAF15}" srcOrd="1" destOrd="0" presId="urn:microsoft.com/office/officeart/2005/8/layout/list1"/>
    <dgm:cxn modelId="{5DF2497B-A163-4FF4-8B4D-88A198A6697E}" type="presOf" srcId="{5B5380B7-1C4C-4D17-97B8-0AB567B45550}" destId="{D4EC2D21-598B-4D97-AD60-A992FBDFD42A}" srcOrd="0" destOrd="0" presId="urn:microsoft.com/office/officeart/2005/8/layout/list1"/>
    <dgm:cxn modelId="{32B01788-8598-48EB-AE19-ACED602814E7}" srcId="{9283B150-E17E-4135-93E0-B70F9F1DCE37}" destId="{95AC533D-ADF1-46A1-96A7-58ED29F3F0FC}" srcOrd="0" destOrd="0" parTransId="{EA5C5F17-4E0D-4A36-B40D-6C1346002B6C}" sibTransId="{FF9996FD-8427-4E4B-9BBA-A67BAC08CF69}"/>
    <dgm:cxn modelId="{F371DC88-E352-40E7-AE11-CAEB83B63FB4}" type="presOf" srcId="{7210D2A4-A95F-4CC3-BDB5-946AB8CB5FE2}" destId="{EA0D5443-792D-41C6-956C-242657A5EFA7}" srcOrd="0" destOrd="0" presId="urn:microsoft.com/office/officeart/2005/8/layout/list1"/>
    <dgm:cxn modelId="{FE56118E-A0E6-46BC-B89E-3391545B98B9}" srcId="{5B5380B7-1C4C-4D17-97B8-0AB567B45550}" destId="{20228147-3B53-4874-94A3-72F6B298D1CE}" srcOrd="0" destOrd="0" parTransId="{3B36AE05-3ECB-4579-A14B-9CBF291F276A}" sibTransId="{C1E1707D-183D-4445-AE12-64B61EFBB1EA}"/>
    <dgm:cxn modelId="{177756C2-2BE0-4D7E-9349-0F3A54A703DE}" srcId="{20228147-3B53-4874-94A3-72F6B298D1CE}" destId="{76581E19-D34D-4795-9668-25C3DF199BE7}" srcOrd="0" destOrd="0" parTransId="{DB322C7B-C86E-4394-ABEF-D3D072E72608}" sibTransId="{9B63B902-4FDD-408F-8783-8ACEE4339DA9}"/>
    <dgm:cxn modelId="{13AEBDC9-5D19-4D54-836D-13EF10F87B3B}" type="presOf" srcId="{9283B150-E17E-4135-93E0-B70F9F1DCE37}" destId="{0A2ABD52-AD8F-4F6B-9D63-ED35AE907B83}" srcOrd="0" destOrd="0" presId="urn:microsoft.com/office/officeart/2005/8/layout/list1"/>
    <dgm:cxn modelId="{32D16ECB-2DF7-4A2F-AEFD-58E8F2BA41E2}" srcId="{D0E4F957-F381-4324-9F87-7E3EF965940D}" destId="{25BC4A43-FB0A-47BB-896D-5FFCAEE99023}" srcOrd="0" destOrd="0" parTransId="{A8E2DC4A-5E2F-4C4A-981B-99CDDC802DA1}" sibTransId="{0883A54A-A515-4A02-ADAE-C48BB4DDD3C4}"/>
    <dgm:cxn modelId="{4D0367DD-0BE3-44D4-83A4-A9D2D5C14BA1}" type="presOf" srcId="{D0E51AF7-3602-4353-9995-1E3CF0B4F4E9}" destId="{8D2F1753-8FEC-4D34-95FF-F9CB835EA384}" srcOrd="0" destOrd="0" presId="urn:microsoft.com/office/officeart/2005/8/layout/list1"/>
    <dgm:cxn modelId="{2E42D0EA-F5A6-40DA-BD3E-3F47559939FD}" type="presOf" srcId="{D0E4F957-F381-4324-9F87-7E3EF965940D}" destId="{908F4D0E-A3EF-4BD9-AB2F-0B0C8D2F413F}" srcOrd="0" destOrd="0" presId="urn:microsoft.com/office/officeart/2005/8/layout/list1"/>
    <dgm:cxn modelId="{8B94CBEB-4A52-4B2B-89A0-D94B3A259872}" type="presOf" srcId="{E97A6F8F-92AC-4314-BC1B-034EF037BB02}" destId="{0C4CE193-BB59-4BC8-8B97-143D82E16B10}" srcOrd="0" destOrd="0" presId="urn:microsoft.com/office/officeart/2005/8/layout/list1"/>
    <dgm:cxn modelId="{64C6EAF9-E317-4896-BAD3-40F9FB59EEDA}" srcId="{5B5380B7-1C4C-4D17-97B8-0AB567B45550}" destId="{D0E4F957-F381-4324-9F87-7E3EF965940D}" srcOrd="1" destOrd="0" parTransId="{4D3B9906-7322-41C7-A84B-738E084B9D19}" sibTransId="{877CD15B-5B52-4B59-91B3-1637867E9467}"/>
    <dgm:cxn modelId="{9B09CC5E-FEBB-41C6-A921-7DDD6F3432F5}" type="presParOf" srcId="{D4EC2D21-598B-4D97-AD60-A992FBDFD42A}" destId="{114B6739-DFE6-48B8-93B0-18F185C7FED6}" srcOrd="0" destOrd="0" presId="urn:microsoft.com/office/officeart/2005/8/layout/list1"/>
    <dgm:cxn modelId="{FC99FAD2-A8A3-4801-88DB-640EE9C17324}" type="presParOf" srcId="{114B6739-DFE6-48B8-93B0-18F185C7FED6}" destId="{2817534F-B06A-40BB-AC7C-C66FC623F1C0}" srcOrd="0" destOrd="0" presId="urn:microsoft.com/office/officeart/2005/8/layout/list1"/>
    <dgm:cxn modelId="{B1857F99-55E0-4D1A-9106-15BFC6A6BA2B}" type="presParOf" srcId="{114B6739-DFE6-48B8-93B0-18F185C7FED6}" destId="{DF4D89F0-6374-4F3D-B111-71C6E2E44FFB}" srcOrd="1" destOrd="0" presId="urn:microsoft.com/office/officeart/2005/8/layout/list1"/>
    <dgm:cxn modelId="{ADDB5970-BCDA-4DC6-AF55-97970EE4DB2A}" type="presParOf" srcId="{D4EC2D21-598B-4D97-AD60-A992FBDFD42A}" destId="{17035E3A-4857-4662-9008-218666946FA3}" srcOrd="1" destOrd="0" presId="urn:microsoft.com/office/officeart/2005/8/layout/list1"/>
    <dgm:cxn modelId="{4D5C23AD-B0B9-4775-9D67-D0BD94BC51F3}" type="presParOf" srcId="{D4EC2D21-598B-4D97-AD60-A992FBDFD42A}" destId="{82A24D10-1F9B-4D7A-A793-DE1B07CE295D}" srcOrd="2" destOrd="0" presId="urn:microsoft.com/office/officeart/2005/8/layout/list1"/>
    <dgm:cxn modelId="{E6DB77DF-3575-4246-A652-323D4D21D6DE}" type="presParOf" srcId="{D4EC2D21-598B-4D97-AD60-A992FBDFD42A}" destId="{1885B9CC-3D36-46FD-9134-BCAADC962E48}" srcOrd="3" destOrd="0" presId="urn:microsoft.com/office/officeart/2005/8/layout/list1"/>
    <dgm:cxn modelId="{75EA12E7-55FF-47CD-AFE5-699ED899AC63}" type="presParOf" srcId="{D4EC2D21-598B-4D97-AD60-A992FBDFD42A}" destId="{2FF43426-6E4F-4D28-A26C-47572FBC7BA9}" srcOrd="4" destOrd="0" presId="urn:microsoft.com/office/officeart/2005/8/layout/list1"/>
    <dgm:cxn modelId="{A21071A0-2D52-4DB4-B318-35A30CAC9C7C}" type="presParOf" srcId="{2FF43426-6E4F-4D28-A26C-47572FBC7BA9}" destId="{908F4D0E-A3EF-4BD9-AB2F-0B0C8D2F413F}" srcOrd="0" destOrd="0" presId="urn:microsoft.com/office/officeart/2005/8/layout/list1"/>
    <dgm:cxn modelId="{84CDFCCD-AE6F-43FB-A69C-1EB004D46CBC}" type="presParOf" srcId="{2FF43426-6E4F-4D28-A26C-47572FBC7BA9}" destId="{ECEAFDBB-C6E4-4E48-B698-2F916B5AAF15}" srcOrd="1" destOrd="0" presId="urn:microsoft.com/office/officeart/2005/8/layout/list1"/>
    <dgm:cxn modelId="{90334F05-E81A-4B1E-A98F-63DA25684FF8}" type="presParOf" srcId="{D4EC2D21-598B-4D97-AD60-A992FBDFD42A}" destId="{78666885-4D0D-4A9E-AD3B-AF0D223A7C80}" srcOrd="5" destOrd="0" presId="urn:microsoft.com/office/officeart/2005/8/layout/list1"/>
    <dgm:cxn modelId="{3BFD575E-3638-471C-AC51-ED8083F61E10}" type="presParOf" srcId="{D4EC2D21-598B-4D97-AD60-A992FBDFD42A}" destId="{7769C254-D47B-4790-BC34-3F7AA3C333D2}" srcOrd="6" destOrd="0" presId="urn:microsoft.com/office/officeart/2005/8/layout/list1"/>
    <dgm:cxn modelId="{BBFFC161-301E-4598-912F-CE778634864C}" type="presParOf" srcId="{D4EC2D21-598B-4D97-AD60-A992FBDFD42A}" destId="{528EF994-9507-40CE-86F5-B8B693092E0D}" srcOrd="7" destOrd="0" presId="urn:microsoft.com/office/officeart/2005/8/layout/list1"/>
    <dgm:cxn modelId="{D446C87F-5E4B-4045-B162-FC41BF7C34C3}" type="presParOf" srcId="{D4EC2D21-598B-4D97-AD60-A992FBDFD42A}" destId="{80221490-2A43-454C-9D4A-DE2804C7C7C1}" srcOrd="8" destOrd="0" presId="urn:microsoft.com/office/officeart/2005/8/layout/list1"/>
    <dgm:cxn modelId="{E8DCECA6-D320-40D0-9AEF-D7FCB9957905}" type="presParOf" srcId="{80221490-2A43-454C-9D4A-DE2804C7C7C1}" destId="{0A2ABD52-AD8F-4F6B-9D63-ED35AE907B83}" srcOrd="0" destOrd="0" presId="urn:microsoft.com/office/officeart/2005/8/layout/list1"/>
    <dgm:cxn modelId="{C9477A7D-539E-4DF2-B067-3FB7A4B787F8}" type="presParOf" srcId="{80221490-2A43-454C-9D4A-DE2804C7C7C1}" destId="{74C77952-1974-47CE-8A0F-9EF7952E398C}" srcOrd="1" destOrd="0" presId="urn:microsoft.com/office/officeart/2005/8/layout/list1"/>
    <dgm:cxn modelId="{CFFD28E1-BFAC-4025-B144-B5435BB075C6}" type="presParOf" srcId="{D4EC2D21-598B-4D97-AD60-A992FBDFD42A}" destId="{66751AE7-9518-494C-819F-807A903D054F}" srcOrd="9" destOrd="0" presId="urn:microsoft.com/office/officeart/2005/8/layout/list1"/>
    <dgm:cxn modelId="{A83C05F7-651F-41B7-9858-7BD884F77B69}" type="presParOf" srcId="{D4EC2D21-598B-4D97-AD60-A992FBDFD42A}" destId="{D663F0FB-25AE-42C3-A875-5C88CABB6178}" srcOrd="10" destOrd="0" presId="urn:microsoft.com/office/officeart/2005/8/layout/list1"/>
    <dgm:cxn modelId="{E893D7D2-8A11-4E55-8219-C54811B3805C}" type="presParOf" srcId="{D4EC2D21-598B-4D97-AD60-A992FBDFD42A}" destId="{84F25E95-A97B-4ACA-8675-0F54C9C3C2E3}" srcOrd="11" destOrd="0" presId="urn:microsoft.com/office/officeart/2005/8/layout/list1"/>
    <dgm:cxn modelId="{288656AA-6A55-4638-A3A1-EA9FB4CF2CE8}" type="presParOf" srcId="{D4EC2D21-598B-4D97-AD60-A992FBDFD42A}" destId="{2FD68F01-82CB-4C1E-B8F5-559EE16C4C69}" srcOrd="12" destOrd="0" presId="urn:microsoft.com/office/officeart/2005/8/layout/list1"/>
    <dgm:cxn modelId="{D4BAB748-E82B-4DC4-BD01-D96C67173B4C}" type="presParOf" srcId="{2FD68F01-82CB-4C1E-B8F5-559EE16C4C69}" destId="{0C4CE193-BB59-4BC8-8B97-143D82E16B10}" srcOrd="0" destOrd="0" presId="urn:microsoft.com/office/officeart/2005/8/layout/list1"/>
    <dgm:cxn modelId="{BB52DD97-8080-4EB9-A6D6-7E0C8A6E8970}" type="presParOf" srcId="{2FD68F01-82CB-4C1E-B8F5-559EE16C4C69}" destId="{5DE53DAF-BF2F-4CD2-9E7B-5F3F309B15B9}" srcOrd="1" destOrd="0" presId="urn:microsoft.com/office/officeart/2005/8/layout/list1"/>
    <dgm:cxn modelId="{6E2EC4A7-8AE8-4F55-A16D-1795F830B041}" type="presParOf" srcId="{D4EC2D21-598B-4D97-AD60-A992FBDFD42A}" destId="{306AD142-8E1C-4711-85CE-6D86C1163EBD}" srcOrd="13" destOrd="0" presId="urn:microsoft.com/office/officeart/2005/8/layout/list1"/>
    <dgm:cxn modelId="{EB104095-C22B-4575-8EE1-6EABFBBCB391}" type="presParOf" srcId="{D4EC2D21-598B-4D97-AD60-A992FBDFD42A}" destId="{EA0D5443-792D-41C6-956C-242657A5EFA7}" srcOrd="14" destOrd="0" presId="urn:microsoft.com/office/officeart/2005/8/layout/list1"/>
    <dgm:cxn modelId="{F207E7E8-8C8F-4D7A-A516-75958E0B15F9}" type="presParOf" srcId="{D4EC2D21-598B-4D97-AD60-A992FBDFD42A}" destId="{5D1A6D9F-B1E8-4003-8248-4BAD7789B43A}" srcOrd="15" destOrd="0" presId="urn:microsoft.com/office/officeart/2005/8/layout/list1"/>
    <dgm:cxn modelId="{54BA030A-D22E-421D-90C2-9C434188888E}" type="presParOf" srcId="{D4EC2D21-598B-4D97-AD60-A992FBDFD42A}" destId="{F5549B8E-1E36-4CDD-A287-AC5EEC7761D0}" srcOrd="16" destOrd="0" presId="urn:microsoft.com/office/officeart/2005/8/layout/list1"/>
    <dgm:cxn modelId="{4727B067-0D12-42CB-972F-E6E56FFBBA91}" type="presParOf" srcId="{F5549B8E-1E36-4CDD-A287-AC5EEC7761D0}" destId="{8D2F1753-8FEC-4D34-95FF-F9CB835EA384}" srcOrd="0" destOrd="0" presId="urn:microsoft.com/office/officeart/2005/8/layout/list1"/>
    <dgm:cxn modelId="{047CEDCB-AF26-4E73-A541-07AA0BD23790}" type="presParOf" srcId="{F5549B8E-1E36-4CDD-A287-AC5EEC7761D0}" destId="{9130DD51-9BA7-4061-A3FB-9480D2D6187C}" srcOrd="1" destOrd="0" presId="urn:microsoft.com/office/officeart/2005/8/layout/list1"/>
    <dgm:cxn modelId="{27778F60-EA5E-4BD3-B815-0917BAB21D34}" type="presParOf" srcId="{D4EC2D21-598B-4D97-AD60-A992FBDFD42A}" destId="{29887A73-F810-48E7-9F4D-595FEA1CC772}" srcOrd="17" destOrd="0" presId="urn:microsoft.com/office/officeart/2005/8/layout/list1"/>
    <dgm:cxn modelId="{67423192-A1FA-4BB6-BCF9-81BC118DF461}" type="presParOf" srcId="{D4EC2D21-598B-4D97-AD60-A992FBDFD42A}" destId="{93A544B5-AC71-4BF6-A8F6-838871036AC3}" srcOrd="18" destOrd="0" presId="urn:microsoft.com/office/officeart/2005/8/layout/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24D10-1F9B-4D7A-A793-DE1B07CE295D}">
      <dsp:nvSpPr>
        <dsp:cNvPr id="0" name=""/>
        <dsp:cNvSpPr/>
      </dsp:nvSpPr>
      <dsp:spPr>
        <a:xfrm>
          <a:off x="669958" y="250491"/>
          <a:ext cx="4610519" cy="48510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571" tIns="208280" rIns="4405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chemeClr val="tx1"/>
              </a:solidFill>
              <a:latin typeface="Roboto" panose="02000000000000000000" pitchFamily="2" charset="0"/>
              <a:ea typeface="Roboto" panose="02000000000000000000" pitchFamily="2" charset="0"/>
            </a:rPr>
            <a:t>establishes the statutory duties of community justice partners</a:t>
          </a:r>
          <a:endParaRPr lang="en-GB" sz="1200" kern="1200" dirty="0"/>
        </a:p>
      </dsp:txBody>
      <dsp:txXfrm>
        <a:off x="669958" y="250491"/>
        <a:ext cx="4610519" cy="485100"/>
      </dsp:txXfrm>
    </dsp:sp>
    <dsp:sp modelId="{DF4D89F0-6374-4F3D-B111-71C6E2E44FFB}">
      <dsp:nvSpPr>
        <dsp:cNvPr id="0" name=""/>
        <dsp:cNvSpPr/>
      </dsp:nvSpPr>
      <dsp:spPr>
        <a:xfrm>
          <a:off x="953705" y="88131"/>
          <a:ext cx="3973655" cy="324720"/>
        </a:xfrm>
        <a:prstGeom prst="roundRect">
          <a:avLst/>
        </a:prstGeom>
        <a:solidFill>
          <a:schemeClr val="accent6">
            <a:lumMod val="40000"/>
            <a:lumOff val="6000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195" tIns="0" rIns="150195" bIns="0" numCol="1" spcCol="1270" anchor="ctr" anchorCtr="0">
          <a:noAutofit/>
        </a:bodyPr>
        <a:lstStyle/>
        <a:p>
          <a:pPr marL="0" lvl="0" indent="0" algn="l" defTabSz="533400">
            <a:lnSpc>
              <a:spcPct val="90000"/>
            </a:lnSpc>
            <a:spcBef>
              <a:spcPct val="0"/>
            </a:spcBef>
            <a:spcAft>
              <a:spcPct val="35000"/>
            </a:spcAft>
            <a:buNone/>
          </a:pPr>
          <a:r>
            <a:rPr lang="en-GB" sz="1200" b="1" kern="1200" dirty="0">
              <a:solidFill>
                <a:schemeClr val="tx1"/>
              </a:solidFill>
              <a:latin typeface="Roboto" panose="02000000000000000000" pitchFamily="2" charset="0"/>
              <a:ea typeface="Roboto" panose="02000000000000000000" pitchFamily="2" charset="0"/>
              <a:hlinkClick xmlns:r="http://schemas.openxmlformats.org/officeDocument/2006/relationships" r:id="rId1"/>
            </a:rPr>
            <a:t>Community Justice (Scotland) Act 2016</a:t>
          </a:r>
          <a:endParaRPr lang="en-GB" sz="1200" b="1" kern="1200" dirty="0">
            <a:solidFill>
              <a:schemeClr val="tx1"/>
            </a:solidFill>
            <a:latin typeface="Roboto" panose="02000000000000000000" pitchFamily="2" charset="0"/>
            <a:ea typeface="Roboto" panose="02000000000000000000" pitchFamily="2" charset="0"/>
          </a:endParaRPr>
        </a:p>
      </dsp:txBody>
      <dsp:txXfrm>
        <a:off x="969557" y="103983"/>
        <a:ext cx="3941951" cy="293016"/>
      </dsp:txXfrm>
    </dsp:sp>
    <dsp:sp modelId="{7769C254-D47B-4790-BC34-3F7AA3C333D2}">
      <dsp:nvSpPr>
        <dsp:cNvPr id="0" name=""/>
        <dsp:cNvSpPr/>
      </dsp:nvSpPr>
      <dsp:spPr>
        <a:xfrm>
          <a:off x="669958" y="957351"/>
          <a:ext cx="4494431" cy="43530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571" tIns="208280" rIns="4405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chemeClr val="tx1"/>
              </a:solidFill>
              <a:latin typeface="Roboto" panose="02000000000000000000" pitchFamily="2" charset="0"/>
              <a:ea typeface="Roboto" panose="02000000000000000000" pitchFamily="2" charset="0"/>
            </a:rPr>
            <a:t>sets out the national aims and priority actions</a:t>
          </a:r>
          <a:endParaRPr lang="en-GB" sz="1200" kern="1200" dirty="0"/>
        </a:p>
      </dsp:txBody>
      <dsp:txXfrm>
        <a:off x="669958" y="957351"/>
        <a:ext cx="4494431" cy="435304"/>
      </dsp:txXfrm>
    </dsp:sp>
    <dsp:sp modelId="{ECEAFDBB-C6E4-4E48-B698-2F916B5AAF15}">
      <dsp:nvSpPr>
        <dsp:cNvPr id="0" name=""/>
        <dsp:cNvSpPr/>
      </dsp:nvSpPr>
      <dsp:spPr>
        <a:xfrm>
          <a:off x="953705" y="794991"/>
          <a:ext cx="3973655" cy="324720"/>
        </a:xfrm>
        <a:prstGeom prst="roundRect">
          <a:avLst/>
        </a:prstGeom>
        <a:solidFill>
          <a:srgbClr val="FFB81C">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195" tIns="0" rIns="150195" bIns="0" numCol="1" spcCol="1270" anchor="ctr" anchorCtr="0">
          <a:noAutofit/>
        </a:bodyPr>
        <a:lstStyle/>
        <a:p>
          <a:pPr marL="0" lvl="0" indent="0" algn="l" defTabSz="533400">
            <a:lnSpc>
              <a:spcPct val="90000"/>
            </a:lnSpc>
            <a:spcBef>
              <a:spcPct val="0"/>
            </a:spcBef>
            <a:spcAft>
              <a:spcPct val="35000"/>
            </a:spcAft>
            <a:buNone/>
          </a:pPr>
          <a:r>
            <a:rPr lang="en-GB" sz="1200" b="1" kern="1200" dirty="0">
              <a:solidFill>
                <a:schemeClr val="tx1"/>
              </a:solidFill>
              <a:latin typeface="Roboto" panose="02000000000000000000" pitchFamily="2" charset="0"/>
              <a:ea typeface="Roboto" panose="02000000000000000000" pitchFamily="2" charset="0"/>
              <a:hlinkClick xmlns:r="http://schemas.openxmlformats.org/officeDocument/2006/relationships" r:id="rId2"/>
            </a:rPr>
            <a:t>National Strategy for Community Justice</a:t>
          </a:r>
          <a:endParaRPr lang="en-GB" sz="1200" b="1" kern="1200" dirty="0">
            <a:solidFill>
              <a:schemeClr val="tx1"/>
            </a:solidFill>
            <a:latin typeface="Roboto" panose="02000000000000000000" pitchFamily="2" charset="0"/>
            <a:ea typeface="Roboto" panose="02000000000000000000" pitchFamily="2" charset="0"/>
          </a:endParaRPr>
        </a:p>
      </dsp:txBody>
      <dsp:txXfrm>
        <a:off x="969557" y="810843"/>
        <a:ext cx="3941951" cy="293016"/>
      </dsp:txXfrm>
    </dsp:sp>
    <dsp:sp modelId="{D663F0FB-25AE-42C3-A875-5C88CABB6178}">
      <dsp:nvSpPr>
        <dsp:cNvPr id="0" name=""/>
        <dsp:cNvSpPr/>
      </dsp:nvSpPr>
      <dsp:spPr>
        <a:xfrm>
          <a:off x="669958" y="1614416"/>
          <a:ext cx="4660303" cy="47163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571" tIns="208280" rIns="4405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chemeClr val="tx1"/>
              </a:solidFill>
              <a:latin typeface="Roboto" panose="02000000000000000000" pitchFamily="2" charset="0"/>
              <a:ea typeface="Roboto" panose="02000000000000000000" pitchFamily="2" charset="0"/>
            </a:rPr>
            <a:t>sets out what outcomes should be achieved, and how they will be measured</a:t>
          </a:r>
          <a:endParaRPr lang="en-GB" sz="1200" kern="1200" dirty="0"/>
        </a:p>
      </dsp:txBody>
      <dsp:txXfrm>
        <a:off x="669958" y="1614416"/>
        <a:ext cx="4660303" cy="471635"/>
      </dsp:txXfrm>
    </dsp:sp>
    <dsp:sp modelId="{74C77952-1974-47CE-8A0F-9EF7952E398C}">
      <dsp:nvSpPr>
        <dsp:cNvPr id="0" name=""/>
        <dsp:cNvSpPr/>
      </dsp:nvSpPr>
      <dsp:spPr>
        <a:xfrm>
          <a:off x="953705" y="1452056"/>
          <a:ext cx="3973655" cy="324720"/>
        </a:xfrm>
        <a:prstGeom prst="roundRect">
          <a:avLst/>
        </a:prstGeom>
        <a:solidFill>
          <a:srgbClr val="FF8200">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195" tIns="0" rIns="150195" bIns="0" numCol="1" spcCol="1270" anchor="ctr" anchorCtr="0">
          <a:noAutofit/>
        </a:bodyPr>
        <a:lstStyle/>
        <a:p>
          <a:pPr marL="0" lvl="0" indent="0" algn="l" defTabSz="533400">
            <a:lnSpc>
              <a:spcPct val="90000"/>
            </a:lnSpc>
            <a:spcBef>
              <a:spcPct val="0"/>
            </a:spcBef>
            <a:spcAft>
              <a:spcPct val="35000"/>
            </a:spcAft>
            <a:buNone/>
          </a:pPr>
          <a:r>
            <a:rPr lang="en-GB" sz="1200" b="1" kern="1200" dirty="0">
              <a:solidFill>
                <a:schemeClr val="tx1"/>
              </a:solidFill>
              <a:latin typeface="Roboto" panose="02000000000000000000" pitchFamily="2" charset="0"/>
              <a:ea typeface="Roboto" panose="02000000000000000000" pitchFamily="2" charset="0"/>
              <a:hlinkClick xmlns:r="http://schemas.openxmlformats.org/officeDocument/2006/relationships" r:id="rId3">
                <a:extLst>
                  <a:ext uri="{A12FA001-AC4F-418D-AE19-62706E023703}">
                    <ahyp:hlinkClr xmlns:ahyp="http://schemas.microsoft.com/office/drawing/2018/hyperlinkcolor" val="tx"/>
                  </a:ext>
                </a:extLst>
              </a:hlinkClick>
            </a:rPr>
            <a:t>Community Justice Performance Framework</a:t>
          </a:r>
          <a:endParaRPr lang="en-GB" sz="1200" b="1" kern="1200" dirty="0">
            <a:solidFill>
              <a:schemeClr val="tx1"/>
            </a:solidFill>
            <a:latin typeface="Roboto" panose="02000000000000000000" pitchFamily="2" charset="0"/>
            <a:ea typeface="Roboto" panose="02000000000000000000" pitchFamily="2" charset="0"/>
          </a:endParaRPr>
        </a:p>
      </dsp:txBody>
      <dsp:txXfrm>
        <a:off x="969557" y="1467908"/>
        <a:ext cx="3941951" cy="293016"/>
      </dsp:txXfrm>
    </dsp:sp>
    <dsp:sp modelId="{EA0D5443-792D-41C6-956C-242657A5EFA7}">
      <dsp:nvSpPr>
        <dsp:cNvPr id="0" name=""/>
        <dsp:cNvSpPr/>
      </dsp:nvSpPr>
      <dsp:spPr>
        <a:xfrm>
          <a:off x="669958" y="2307811"/>
          <a:ext cx="4665015" cy="48510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571" tIns="208280" rIns="4405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chemeClr val="tx1"/>
              </a:solidFill>
              <a:latin typeface="Roboto" panose="02000000000000000000" pitchFamily="2" charset="0"/>
              <a:ea typeface="Roboto" panose="02000000000000000000" pitchFamily="2" charset="0"/>
            </a:rPr>
            <a:t>identifies local evidence to enable local improvement in delivery</a:t>
          </a:r>
          <a:endParaRPr lang="en-GB" sz="1200" kern="1200" dirty="0"/>
        </a:p>
      </dsp:txBody>
      <dsp:txXfrm>
        <a:off x="669958" y="2307811"/>
        <a:ext cx="4665015" cy="485100"/>
      </dsp:txXfrm>
    </dsp:sp>
    <dsp:sp modelId="{5DE53DAF-BF2F-4CD2-9E7B-5F3F309B15B9}">
      <dsp:nvSpPr>
        <dsp:cNvPr id="0" name=""/>
        <dsp:cNvSpPr/>
      </dsp:nvSpPr>
      <dsp:spPr>
        <a:xfrm>
          <a:off x="953705" y="2145451"/>
          <a:ext cx="3973655" cy="324720"/>
        </a:xfrm>
        <a:prstGeom prst="roundRect">
          <a:avLst/>
        </a:prstGeom>
        <a:solidFill>
          <a:srgbClr val="CE0058">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195" tIns="0" rIns="150195" bIns="0" numCol="1" spcCol="1270" anchor="ctr" anchorCtr="0">
          <a:noAutofit/>
        </a:bodyPr>
        <a:lstStyle/>
        <a:p>
          <a:pPr marL="0" lvl="0" indent="0" algn="l" defTabSz="533400">
            <a:lnSpc>
              <a:spcPct val="90000"/>
            </a:lnSpc>
            <a:spcBef>
              <a:spcPct val="0"/>
            </a:spcBef>
            <a:spcAft>
              <a:spcPct val="35000"/>
            </a:spcAft>
            <a:buNone/>
          </a:pPr>
          <a:r>
            <a:rPr lang="en-GB" sz="1200" b="1" kern="1200" dirty="0">
              <a:solidFill>
                <a:schemeClr val="tx1"/>
              </a:solidFill>
              <a:latin typeface="Roboto" panose="02000000000000000000" pitchFamily="2" charset="0"/>
              <a:ea typeface="Roboto" panose="02000000000000000000" pitchFamily="2" charset="0"/>
              <a:hlinkClick xmlns:r="http://schemas.openxmlformats.org/officeDocument/2006/relationships" r:id="rId4">
                <a:extLst>
                  <a:ext uri="{A12FA001-AC4F-418D-AE19-62706E023703}">
                    <ahyp:hlinkClr xmlns:ahyp="http://schemas.microsoft.com/office/drawing/2018/hyperlinkcolor" val="tx"/>
                  </a:ext>
                </a:extLst>
              </a:hlinkClick>
            </a:rPr>
            <a:t>Community Justice Improvement Tool</a:t>
          </a:r>
          <a:endParaRPr lang="en-GB" sz="1200" b="1" kern="1200" dirty="0">
            <a:solidFill>
              <a:schemeClr val="tx1"/>
            </a:solidFill>
            <a:latin typeface="Roboto" panose="02000000000000000000" pitchFamily="2" charset="0"/>
            <a:ea typeface="Roboto" panose="02000000000000000000" pitchFamily="2" charset="0"/>
          </a:endParaRPr>
        </a:p>
      </dsp:txBody>
      <dsp:txXfrm>
        <a:off x="969557" y="2161303"/>
        <a:ext cx="3941951" cy="293016"/>
      </dsp:txXfrm>
    </dsp:sp>
    <dsp:sp modelId="{93A544B5-AC71-4BF6-A8F6-838871036AC3}">
      <dsp:nvSpPr>
        <dsp:cNvPr id="0" name=""/>
        <dsp:cNvSpPr/>
      </dsp:nvSpPr>
      <dsp:spPr>
        <a:xfrm>
          <a:off x="669958" y="3014671"/>
          <a:ext cx="4593943" cy="48510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571" tIns="208280" rIns="4405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chemeClr val="tx1"/>
              </a:solidFill>
              <a:latin typeface="Roboto" panose="02000000000000000000" pitchFamily="2" charset="0"/>
              <a:ea typeface="Roboto" panose="02000000000000000000" pitchFamily="2" charset="0"/>
            </a:rPr>
            <a:t>supports partnerships to evaluate their effectiveness</a:t>
          </a:r>
          <a:endParaRPr lang="en-GB" sz="1200" kern="1200" dirty="0"/>
        </a:p>
      </dsp:txBody>
      <dsp:txXfrm>
        <a:off x="669958" y="3014671"/>
        <a:ext cx="4593943" cy="485100"/>
      </dsp:txXfrm>
    </dsp:sp>
    <dsp:sp modelId="{9130DD51-9BA7-4061-A3FB-9480D2D6187C}">
      <dsp:nvSpPr>
        <dsp:cNvPr id="0" name=""/>
        <dsp:cNvSpPr/>
      </dsp:nvSpPr>
      <dsp:spPr>
        <a:xfrm>
          <a:off x="953705" y="2852311"/>
          <a:ext cx="3973655" cy="324720"/>
        </a:xfrm>
        <a:prstGeom prst="roundRect">
          <a:avLst/>
        </a:prstGeom>
        <a:solidFill>
          <a:schemeClr val="accent4">
            <a:lumMod val="40000"/>
            <a:lumOff val="60000"/>
            <a:alpha val="41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195" tIns="0" rIns="150195" bIns="0" numCol="1" spcCol="1270" anchor="ctr" anchorCtr="0">
          <a:noAutofit/>
        </a:bodyPr>
        <a:lstStyle/>
        <a:p>
          <a:pPr marL="0" lvl="0" indent="0" algn="l" defTabSz="533400">
            <a:lnSpc>
              <a:spcPct val="90000"/>
            </a:lnSpc>
            <a:spcBef>
              <a:spcPct val="0"/>
            </a:spcBef>
            <a:spcAft>
              <a:spcPct val="35000"/>
            </a:spcAft>
            <a:buNone/>
          </a:pPr>
          <a:r>
            <a:rPr lang="en-GB" sz="1200" b="1" kern="1200" dirty="0">
              <a:solidFill>
                <a:schemeClr val="tx1"/>
              </a:solidFill>
              <a:latin typeface="Roboto" panose="02000000000000000000" pitchFamily="2" charset="0"/>
              <a:ea typeface="Roboto" panose="02000000000000000000" pitchFamily="2" charset="0"/>
              <a:hlinkClick xmlns:r="http://schemas.openxmlformats.org/officeDocument/2006/relationships" r:id="rId5"/>
            </a:rPr>
            <a:t>A guide to self-evaluation for community justice in Scotland</a:t>
          </a:r>
          <a:endParaRPr lang="en-GB" sz="1200" b="1" kern="1200" dirty="0">
            <a:solidFill>
              <a:schemeClr val="tx1"/>
            </a:solidFill>
            <a:latin typeface="Roboto" panose="02000000000000000000" pitchFamily="2" charset="0"/>
            <a:ea typeface="Roboto" panose="02000000000000000000" pitchFamily="2" charset="0"/>
          </a:endParaRPr>
        </a:p>
      </dsp:txBody>
      <dsp:txXfrm>
        <a:off x="969557" y="2868163"/>
        <a:ext cx="3941951"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53D26341A57B383EE0540010E0463CCA" version="1.0.0">
  <systemFields>
    <field name="Objective-Id">
      <value order="0">A51591923</value>
    </field>
    <field name="Objective-Title">
      <value order="0">CJS Outcome Activity Annual Report 2023-24</value>
    </field>
    <field name="Objective-Description">
      <value order="0"/>
    </field>
    <field name="Objective-CreationStamp">
      <value order="0">2025-01-27T08:03:40Z</value>
    </field>
    <field name="Objective-IsApproved">
      <value order="0">false</value>
    </field>
    <field name="Objective-IsPublished">
      <value order="0">false</value>
    </field>
    <field name="Objective-DatePublished">
      <value order="0"/>
    </field>
    <field name="Objective-ModificationStamp">
      <value order="0">2025-03-27T13:53:24Z</value>
    </field>
    <field name="Objective-Owner">
      <value order="0">Thomson, Richard R (U448088)</value>
    </field>
    <field name="Objective-Path">
      <value order="0">Objective Global Folder:Community Justice Scotland File Plan:Administration:Corporate strategy:Strategy and change:Corporate strategy: Strategy and change (Community Justice Scotland):Community Justice Scotland: Outcome Activity Annual Report (2023-24): 2024-2029</value>
    </field>
    <field name="Objective-Parent">
      <value order="0">Community Justice Scotland: Outcome Activity Annual Report (2023-24): 2024-2029</value>
    </field>
    <field name="Objective-State">
      <value order="0">Being Drafted</value>
    </field>
    <field name="Objective-VersionId">
      <value order="0">vA79035069</value>
    </field>
    <field name="Objective-Version">
      <value order="0">0.57</value>
    </field>
    <field name="Objective-VersionNumber">
      <value order="0">57</value>
    </field>
    <field name="Objective-VersionComment">
      <value order="0"/>
    </field>
    <field name="Objective-FileNumber">
      <value order="0">PROJ/131738</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ArticleInAPeriodical</b:SourceType>
    <b:Guid>{0911962E-02FF-4185-BB10-D161F74C3487}</b:Guid>
    <b:Author>
      <b:Author>
        <b:NameList>
          <b:Person>
            <b:Last>Author</b:Last>
            <b:First>Eg</b:First>
          </b:Person>
        </b:NameList>
      </b:Author>
    </b:Author>
    <b:Title>Article Heading here</b:Title>
    <b:Year>2023</b:Year>
    <b:Month>May</b:Month>
    <b:PeriodicalTitle>Periodical Title Here</b:PeriodicalTitle>
    <b:Pages>23 - 25</b:Pages>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DateandTime xmlns="218ef011-e868-4a9a-8486-4098a865dd1f" xsi:nil="true"/>
    <TaxCatchAll xmlns="bb7d43f3-9869-4fe1-a166-a1306705143d" xsi:nil="true"/>
    <lcf76f155ced4ddcb4097134ff3c332f xmlns="218ef011-e868-4a9a-8486-4098a865dd1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2E8F0B8CF45954BA940A96459428FCD" ma:contentTypeVersion="14" ma:contentTypeDescription="Create a new document." ma:contentTypeScope="" ma:versionID="9ba336573522d72bb525e7838f78da0a">
  <xsd:schema xmlns:xsd="http://www.w3.org/2001/XMLSchema" xmlns:xs="http://www.w3.org/2001/XMLSchema" xmlns:p="http://schemas.microsoft.com/office/2006/metadata/properties" xmlns:ns2="218ef011-e868-4a9a-8486-4098a865dd1f" xmlns:ns3="bb7d43f3-9869-4fe1-a166-a1306705143d" targetNamespace="http://schemas.microsoft.com/office/2006/metadata/properties" ma:root="true" ma:fieldsID="78dbd3174c53392c87bcc1171d1fb3f8" ns2:_="" ns3:_="">
    <xsd:import namespace="218ef011-e868-4a9a-8486-4098a865dd1f"/>
    <xsd:import namespace="bb7d43f3-9869-4fe1-a166-a130670514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ateandTime"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ef011-e868-4a9a-8486-4098a865d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andTime" ma:index="12" nillable="true" ma:displayName="Date and Time" ma:format="DateOnly" ma:internalName="DateandTime">
      <xsd:simpleType>
        <xsd:restriction base="dms:DateTim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d43f3-9869-4fe1-a166-a130670514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93b77d1-903d-474e-9353-267cb93b32b9}" ma:internalName="TaxCatchAll" ma:showField="CatchAllData" ma:web="bb7d43f3-9869-4fe1-a166-a13067051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D6B610-6628-4187-862A-0A8DD097CBE0}">
  <ds:schemaRefs>
    <ds:schemaRef ds:uri="http://schemas.openxmlformats.org/officeDocument/2006/bibliography"/>
  </ds:schemaRefs>
</ds:datastoreItem>
</file>

<file path=customXml/itemProps2.xml><?xml version="1.0" encoding="utf-8"?>
<ds:datastoreItem xmlns:ds="http://schemas.openxmlformats.org/officeDocument/2006/customXml" ds:itemID="{91BCFE3E-AE44-4BF8-8BB4-8A972BC4CBA2}">
  <ds:schemaRefs>
    <ds:schemaRef ds:uri="http://schemas.microsoft.com/office/2006/metadata/properties"/>
    <ds:schemaRef ds:uri="http://schemas.microsoft.com/office/infopath/2007/PartnerControls"/>
    <ds:schemaRef ds:uri="218ef011-e868-4a9a-8486-4098a865dd1f"/>
    <ds:schemaRef ds:uri="bb7d43f3-9869-4fe1-a166-a1306705143d"/>
  </ds:schemaRefs>
</ds:datastoreItem>
</file>

<file path=customXml/itemProps4.xml><?xml version="1.0" encoding="utf-8"?>
<ds:datastoreItem xmlns:ds="http://schemas.openxmlformats.org/officeDocument/2006/customXml" ds:itemID="{307D27B5-521C-4E33-89B3-63E55CA108DE}">
  <ds:schemaRefs>
    <ds:schemaRef ds:uri="http://schemas.microsoft.com/sharepoint/v3/contenttype/forms"/>
  </ds:schemaRefs>
</ds:datastoreItem>
</file>

<file path=customXml/itemProps5.xml><?xml version="1.0" encoding="utf-8"?>
<ds:datastoreItem xmlns:ds="http://schemas.openxmlformats.org/officeDocument/2006/customXml" ds:itemID="{1E9ACB92-37BD-4F0C-8B6B-630E33A41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ef011-e868-4a9a-8486-4098a865dd1f"/>
    <ds:schemaRef ds:uri="bb7d43f3-9869-4fe1-a166-a13067051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18618</Words>
  <Characters>106128</Characters>
  <Application>Microsoft Office Word</Application>
  <DocSecurity>8</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124498</CharactersWithSpaces>
  <SharedDoc>false</SharedDoc>
  <HLinks>
    <vt:vector size="684" baseType="variant">
      <vt:variant>
        <vt:i4>5701740</vt:i4>
      </vt:variant>
      <vt:variant>
        <vt:i4>312</vt:i4>
      </vt:variant>
      <vt:variant>
        <vt:i4>0</vt:i4>
      </vt:variant>
      <vt:variant>
        <vt:i4>5</vt:i4>
      </vt:variant>
      <vt:variant>
        <vt:lpwstr>https://yourviews.parliament.scot/justice/budget-scrutiny-24-25/consultation/view_respondent?uuId=316486734</vt:lpwstr>
      </vt:variant>
      <vt:variant>
        <vt:lpwstr/>
      </vt:variant>
      <vt:variant>
        <vt:i4>4259870</vt:i4>
      </vt:variant>
      <vt:variant>
        <vt:i4>309</vt:i4>
      </vt:variant>
      <vt:variant>
        <vt:i4>0</vt:i4>
      </vt:variant>
      <vt:variant>
        <vt:i4>5</vt:i4>
      </vt:variant>
      <vt:variant>
        <vt:lpwstr>https://socialworkscotland.org/consultations/bail-release-from-custody-bill/</vt:lpwstr>
      </vt:variant>
      <vt:variant>
        <vt:lpwstr/>
      </vt:variant>
      <vt:variant>
        <vt:i4>4587611</vt:i4>
      </vt:variant>
      <vt:variant>
        <vt:i4>306</vt:i4>
      </vt:variant>
      <vt:variant>
        <vt:i4>0</vt:i4>
      </vt:variant>
      <vt:variant>
        <vt:i4>5</vt:i4>
      </vt:variant>
      <vt:variant>
        <vt:lpwstr>https://communityjustice.scot/wp-content/uploads/2022/04/Bail-and-release-from-custody-arrangements-consultation-response-from-Community-Justice-Scotland.pdf</vt:lpwstr>
      </vt:variant>
      <vt:variant>
        <vt:lpwstr/>
      </vt:variant>
      <vt:variant>
        <vt:i4>3407909</vt:i4>
      </vt:variant>
      <vt:variant>
        <vt:i4>303</vt:i4>
      </vt:variant>
      <vt:variant>
        <vt:i4>0</vt:i4>
      </vt:variant>
      <vt:variant>
        <vt:i4>5</vt:i4>
      </vt:variant>
      <vt:variant>
        <vt:lpwstr>https://www.legislation.gov.uk/asp/2023/4/contents/enacted</vt:lpwstr>
      </vt:variant>
      <vt:variant>
        <vt:lpwstr/>
      </vt:variant>
      <vt:variant>
        <vt:i4>1441813</vt:i4>
      </vt:variant>
      <vt:variant>
        <vt:i4>300</vt:i4>
      </vt:variant>
      <vt:variant>
        <vt:i4>0</vt:i4>
      </vt:variant>
      <vt:variant>
        <vt:i4>5</vt:i4>
      </vt:variant>
      <vt:variant>
        <vt:lpwstr>https://www.parliament.scot/bills-and-laws/bills/bail-and-release-from-custody-scotland-bill</vt:lpwstr>
      </vt:variant>
      <vt:variant>
        <vt:lpwstr/>
      </vt:variant>
      <vt:variant>
        <vt:i4>7536649</vt:i4>
      </vt:variant>
      <vt:variant>
        <vt:i4>297</vt:i4>
      </vt:variant>
      <vt:variant>
        <vt:i4>0</vt:i4>
      </vt:variant>
      <vt:variant>
        <vt:i4>5</vt:i4>
      </vt:variant>
      <vt:variant>
        <vt:lpwstr>https://communityjustice.scot/policy_consultation/management-of-offenders-scotland-bill-consultation-response/</vt:lpwstr>
      </vt:variant>
      <vt:variant>
        <vt:lpwstr/>
      </vt:variant>
      <vt:variant>
        <vt:i4>2228267</vt:i4>
      </vt:variant>
      <vt:variant>
        <vt:i4>294</vt:i4>
      </vt:variant>
      <vt:variant>
        <vt:i4>0</vt:i4>
      </vt:variant>
      <vt:variant>
        <vt:i4>5</vt:i4>
      </vt:variant>
      <vt:variant>
        <vt:lpwstr>https://www.legislation.gov.uk/asp/2019/14/contents</vt:lpwstr>
      </vt:variant>
      <vt:variant>
        <vt:lpwstr/>
      </vt:variant>
      <vt:variant>
        <vt:i4>6881381</vt:i4>
      </vt:variant>
      <vt:variant>
        <vt:i4>291</vt:i4>
      </vt:variant>
      <vt:variant>
        <vt:i4>0</vt:i4>
      </vt:variant>
      <vt:variant>
        <vt:i4>5</vt:i4>
      </vt:variant>
      <vt:variant>
        <vt:lpwstr>https://www.parliament.scot/bills-and-laws/bills/management-of-offenders-scotland-bill</vt:lpwstr>
      </vt:variant>
      <vt:variant>
        <vt:lpwstr/>
      </vt:variant>
      <vt:variant>
        <vt:i4>7536767</vt:i4>
      </vt:variant>
      <vt:variant>
        <vt:i4>288</vt:i4>
      </vt:variant>
      <vt:variant>
        <vt:i4>0</vt:i4>
      </vt:variant>
      <vt:variant>
        <vt:i4>5</vt:i4>
      </vt:variant>
      <vt:variant>
        <vt:lpwstr>https://www.gov.scot/collections/national-strategy-for-community-justice-delivery-plan-updates/</vt:lpwstr>
      </vt:variant>
      <vt:variant>
        <vt:lpwstr/>
      </vt:variant>
      <vt:variant>
        <vt:i4>1376268</vt:i4>
      </vt:variant>
      <vt:variant>
        <vt:i4>285</vt:i4>
      </vt:variant>
      <vt:variant>
        <vt:i4>0</vt:i4>
      </vt:variant>
      <vt:variant>
        <vt:i4>5</vt:i4>
      </vt:variant>
      <vt:variant>
        <vt:lpwstr>https://prisonsinspectoratescotland.gov.uk/publications/hm-chief-inspectors-annual-report-2023-24</vt:lpwstr>
      </vt:variant>
      <vt:variant>
        <vt:lpwstr/>
      </vt:variant>
      <vt:variant>
        <vt:i4>6619233</vt:i4>
      </vt:variant>
      <vt:variant>
        <vt:i4>282</vt:i4>
      </vt:variant>
      <vt:variant>
        <vt:i4>0</vt:i4>
      </vt:variant>
      <vt:variant>
        <vt:i4>5</vt:i4>
      </vt:variant>
      <vt:variant>
        <vt:lpwstr>https://www.youtube.com/watch?v=ip2-GgCyQyw</vt:lpwstr>
      </vt:variant>
      <vt:variant>
        <vt:lpwstr/>
      </vt:variant>
      <vt:variant>
        <vt:i4>524362</vt:i4>
      </vt:variant>
      <vt:variant>
        <vt:i4>279</vt:i4>
      </vt:variant>
      <vt:variant>
        <vt:i4>0</vt:i4>
      </vt:variant>
      <vt:variant>
        <vt:i4>5</vt:i4>
      </vt:variant>
      <vt:variant>
        <vt:lpwstr>https://communityjustice.scot/community-justice/community-intervention-and-support-directory/</vt:lpwstr>
      </vt:variant>
      <vt:variant>
        <vt:lpwstr/>
      </vt:variant>
      <vt:variant>
        <vt:i4>6750259</vt:i4>
      </vt:variant>
      <vt:variant>
        <vt:i4>276</vt:i4>
      </vt:variant>
      <vt:variant>
        <vt:i4>0</vt:i4>
      </vt:variant>
      <vt:variant>
        <vt:i4>5</vt:i4>
      </vt:variant>
      <vt:variant>
        <vt:lpwstr>https://www.scottishsentencingcouncil.org.uk/sentencing-information/sentencing-videos/sentences</vt:lpwstr>
      </vt:variant>
      <vt:variant>
        <vt:lpwstr/>
      </vt:variant>
      <vt:variant>
        <vt:i4>851974</vt:i4>
      </vt:variant>
      <vt:variant>
        <vt:i4>273</vt:i4>
      </vt:variant>
      <vt:variant>
        <vt:i4>0</vt:i4>
      </vt:variant>
      <vt:variant>
        <vt:i4>5</vt:i4>
      </vt:variant>
      <vt:variant>
        <vt:lpwstr>https://communityjustice.scot/blogs/how-training-courses-run-by-community-justice-scotland-are-helping-to-make-a-difference/</vt:lpwstr>
      </vt:variant>
      <vt:variant>
        <vt:lpwstr/>
      </vt:variant>
      <vt:variant>
        <vt:i4>3932194</vt:i4>
      </vt:variant>
      <vt:variant>
        <vt:i4>270</vt:i4>
      </vt:variant>
      <vt:variant>
        <vt:i4>0</vt:i4>
      </vt:variant>
      <vt:variant>
        <vt:i4>5</vt:i4>
      </vt:variant>
      <vt:variant>
        <vt:lpwstr>https://communityjustice.scot/blogs/how-electronic-tags-can-support-people-away-from-crime/</vt:lpwstr>
      </vt:variant>
      <vt:variant>
        <vt:lpwstr/>
      </vt:variant>
      <vt:variant>
        <vt:i4>720967</vt:i4>
      </vt:variant>
      <vt:variant>
        <vt:i4>267</vt:i4>
      </vt:variant>
      <vt:variant>
        <vt:i4>0</vt:i4>
      </vt:variant>
      <vt:variant>
        <vt:i4>5</vt:i4>
      </vt:variant>
      <vt:variant>
        <vt:lpwstr>https://communityjustice.scot/blogs/how-community-justice-works-for-island-life/</vt:lpwstr>
      </vt:variant>
      <vt:variant>
        <vt:lpwstr/>
      </vt:variant>
      <vt:variant>
        <vt:i4>4849686</vt:i4>
      </vt:variant>
      <vt:variant>
        <vt:i4>264</vt:i4>
      </vt:variant>
      <vt:variant>
        <vt:i4>0</vt:i4>
      </vt:variant>
      <vt:variant>
        <vt:i4>5</vt:i4>
      </vt:variant>
      <vt:variant>
        <vt:lpwstr>https://communityjustice.scot/blogs/how-restorative-justice-can-repair-the-broken-and-heal-the-harm/</vt:lpwstr>
      </vt:variant>
      <vt:variant>
        <vt:lpwstr/>
      </vt:variant>
      <vt:variant>
        <vt:i4>3932254</vt:i4>
      </vt:variant>
      <vt:variant>
        <vt:i4>261</vt:i4>
      </vt:variant>
      <vt:variant>
        <vt:i4>0</vt:i4>
      </vt:variant>
      <vt:variant>
        <vt:i4>5</vt:i4>
      </vt:variant>
      <vt:variant>
        <vt:lpwstr>https://www.flickr.com/people/193682195@N04/</vt:lpwstr>
      </vt:variant>
      <vt:variant>
        <vt:lpwstr/>
      </vt:variant>
      <vt:variant>
        <vt:i4>6488182</vt:i4>
      </vt:variant>
      <vt:variant>
        <vt:i4>258</vt:i4>
      </vt:variant>
      <vt:variant>
        <vt:i4>0</vt:i4>
      </vt:variant>
      <vt:variant>
        <vt:i4>5</vt:i4>
      </vt:variant>
      <vt:variant>
        <vt:lpwstr>https://communityjustice.scot/stories/</vt:lpwstr>
      </vt:variant>
      <vt:variant>
        <vt:lpwstr/>
      </vt:variant>
      <vt:variant>
        <vt:i4>6488182</vt:i4>
      </vt:variant>
      <vt:variant>
        <vt:i4>255</vt:i4>
      </vt:variant>
      <vt:variant>
        <vt:i4>0</vt:i4>
      </vt:variant>
      <vt:variant>
        <vt:i4>5</vt:i4>
      </vt:variant>
      <vt:variant>
        <vt:lpwstr>https://communityjustice.scot/stories/</vt:lpwstr>
      </vt:variant>
      <vt:variant>
        <vt:lpwstr/>
      </vt:variant>
      <vt:variant>
        <vt:i4>3473466</vt:i4>
      </vt:variant>
      <vt:variant>
        <vt:i4>252</vt:i4>
      </vt:variant>
      <vt:variant>
        <vt:i4>0</vt:i4>
      </vt:variant>
      <vt:variant>
        <vt:i4>5</vt:i4>
      </vt:variant>
      <vt:variant>
        <vt:lpwstr>https://www.gov.scot/publications/scottish-crime-justice-survey-2021-22-main-findings/pages/9/</vt:lpwstr>
      </vt:variant>
      <vt:variant>
        <vt:lpwstr/>
      </vt:variant>
      <vt:variant>
        <vt:i4>3473466</vt:i4>
      </vt:variant>
      <vt:variant>
        <vt:i4>249</vt:i4>
      </vt:variant>
      <vt:variant>
        <vt:i4>0</vt:i4>
      </vt:variant>
      <vt:variant>
        <vt:i4>5</vt:i4>
      </vt:variant>
      <vt:variant>
        <vt:lpwstr>https://www.gov.scot/publications/scottish-crime-justice-survey-2021-22-main-findings/pages/9/</vt:lpwstr>
      </vt:variant>
      <vt:variant>
        <vt:lpwstr/>
      </vt:variant>
      <vt:variant>
        <vt:i4>1769473</vt:i4>
      </vt:variant>
      <vt:variant>
        <vt:i4>246</vt:i4>
      </vt:variant>
      <vt:variant>
        <vt:i4>0</vt:i4>
      </vt:variant>
      <vt:variant>
        <vt:i4>5</vt:i4>
      </vt:variant>
      <vt:variant>
        <vt:lpwstr>https://www.nes.scot.nhs.uk/nes-current/trauma-informed-justice-a-knowledge-and-skills-framework-for-working-with-victims-and-witnesses-launched/</vt:lpwstr>
      </vt:variant>
      <vt:variant>
        <vt:lpwstr/>
      </vt:variant>
      <vt:variant>
        <vt:i4>7536766</vt:i4>
      </vt:variant>
      <vt:variant>
        <vt:i4>243</vt:i4>
      </vt:variant>
      <vt:variant>
        <vt:i4>0</vt:i4>
      </vt:variant>
      <vt:variant>
        <vt:i4>5</vt:i4>
      </vt:variant>
      <vt:variant>
        <vt:lpwstr>https://www.traumatransformation.scot/</vt:lpwstr>
      </vt:variant>
      <vt:variant>
        <vt:lpwstr/>
      </vt:variant>
      <vt:variant>
        <vt:i4>3997807</vt:i4>
      </vt:variant>
      <vt:variant>
        <vt:i4>240</vt:i4>
      </vt:variant>
      <vt:variant>
        <vt:i4>0</vt:i4>
      </vt:variant>
      <vt:variant>
        <vt:i4>5</vt:i4>
      </vt:variant>
      <vt:variant>
        <vt:lpwstr>https://www.gov.scot/groups/victims-taskforce/</vt:lpwstr>
      </vt:variant>
      <vt:variant>
        <vt:lpwstr/>
      </vt:variant>
      <vt:variant>
        <vt:i4>7536760</vt:i4>
      </vt:variant>
      <vt:variant>
        <vt:i4>237</vt:i4>
      </vt:variant>
      <vt:variant>
        <vt:i4>0</vt:i4>
      </vt:variant>
      <vt:variant>
        <vt:i4>5</vt:i4>
      </vt:variant>
      <vt:variant>
        <vt:lpwstr>https://www.careinspectorate.com/images/documents/7234/A self-evaluation guide to support quality improvement for community justice in Scotland NOVEMBER 23.pdf</vt:lpwstr>
      </vt:variant>
      <vt:variant>
        <vt:lpwstr/>
      </vt:variant>
      <vt:variant>
        <vt:i4>2293865</vt:i4>
      </vt:variant>
      <vt:variant>
        <vt:i4>234</vt:i4>
      </vt:variant>
      <vt:variant>
        <vt:i4>0</vt:i4>
      </vt:variant>
      <vt:variant>
        <vt:i4>5</vt:i4>
      </vt:variant>
      <vt:variant>
        <vt:lpwstr>https://communityjustice.scot/learning-hub/data-and-innovation/a-community-justice-improvement-tool-local-evidence-for-national-outcomes-2/</vt:lpwstr>
      </vt:variant>
      <vt:variant>
        <vt:lpwstr/>
      </vt:variant>
      <vt:variant>
        <vt:i4>4718687</vt:i4>
      </vt:variant>
      <vt:variant>
        <vt:i4>231</vt:i4>
      </vt:variant>
      <vt:variant>
        <vt:i4>0</vt:i4>
      </vt:variant>
      <vt:variant>
        <vt:i4>5</vt:i4>
      </vt:variant>
      <vt:variant>
        <vt:lpwstr>https://www.gov.scot/publications/national-strategy-community-justice-2/pages/7/</vt:lpwstr>
      </vt:variant>
      <vt:variant>
        <vt:lpwstr/>
      </vt:variant>
      <vt:variant>
        <vt:i4>2031616</vt:i4>
      </vt:variant>
      <vt:variant>
        <vt:i4>228</vt:i4>
      </vt:variant>
      <vt:variant>
        <vt:i4>0</vt:i4>
      </vt:variant>
      <vt:variant>
        <vt:i4>5</vt:i4>
      </vt:variant>
      <vt:variant>
        <vt:lpwstr>https://www.legislation.gov.uk/asp/2016/10/section/23</vt:lpwstr>
      </vt:variant>
      <vt:variant>
        <vt:lpwstr/>
      </vt:variant>
      <vt:variant>
        <vt:i4>7536760</vt:i4>
      </vt:variant>
      <vt:variant>
        <vt:i4>225</vt:i4>
      </vt:variant>
      <vt:variant>
        <vt:i4>0</vt:i4>
      </vt:variant>
      <vt:variant>
        <vt:i4>5</vt:i4>
      </vt:variant>
      <vt:variant>
        <vt:lpwstr>https://www.careinspectorate.com/images/documents/7234/A self-evaluation guide to support quality improvement for community justice in Scotland NOVEMBER 23.pdf</vt:lpwstr>
      </vt:variant>
      <vt:variant>
        <vt:lpwstr/>
      </vt:variant>
      <vt:variant>
        <vt:i4>2293865</vt:i4>
      </vt:variant>
      <vt:variant>
        <vt:i4>222</vt:i4>
      </vt:variant>
      <vt:variant>
        <vt:i4>0</vt:i4>
      </vt:variant>
      <vt:variant>
        <vt:i4>5</vt:i4>
      </vt:variant>
      <vt:variant>
        <vt:lpwstr>https://communityjustice.scot/learning-hub/data-and-innovation/a-community-justice-improvement-tool-local-evidence-for-national-outcomes-2/</vt:lpwstr>
      </vt:variant>
      <vt:variant>
        <vt:lpwstr/>
      </vt:variant>
      <vt:variant>
        <vt:i4>3997795</vt:i4>
      </vt:variant>
      <vt:variant>
        <vt:i4>219</vt:i4>
      </vt:variant>
      <vt:variant>
        <vt:i4>0</vt:i4>
      </vt:variant>
      <vt:variant>
        <vt:i4>5</vt:i4>
      </vt:variant>
      <vt:variant>
        <vt:lpwstr>https://www.gov.scot/publications/community-justice-performance-framework/</vt:lpwstr>
      </vt:variant>
      <vt:variant>
        <vt:lpwstr/>
      </vt:variant>
      <vt:variant>
        <vt:i4>4980748</vt:i4>
      </vt:variant>
      <vt:variant>
        <vt:i4>216</vt:i4>
      </vt:variant>
      <vt:variant>
        <vt:i4>0</vt:i4>
      </vt:variant>
      <vt:variant>
        <vt:i4>5</vt:i4>
      </vt:variant>
      <vt:variant>
        <vt:lpwstr>https://www.gov.scot/publications/national-strategy-community-justice-2/</vt:lpwstr>
      </vt:variant>
      <vt:variant>
        <vt:lpwstr/>
      </vt:variant>
      <vt:variant>
        <vt:i4>65615</vt:i4>
      </vt:variant>
      <vt:variant>
        <vt:i4>213</vt:i4>
      </vt:variant>
      <vt:variant>
        <vt:i4>0</vt:i4>
      </vt:variant>
      <vt:variant>
        <vt:i4>5</vt:i4>
      </vt:variant>
      <vt:variant>
        <vt:lpwstr>https://www.employabilityinscotland.com/media/d1xnr1th/final-report-no-one-left-behind-national-discussion-events-003.pdf</vt:lpwstr>
      </vt:variant>
      <vt:variant>
        <vt:lpwstr/>
      </vt:variant>
      <vt:variant>
        <vt:i4>3735594</vt:i4>
      </vt:variant>
      <vt:variant>
        <vt:i4>210</vt:i4>
      </vt:variant>
      <vt:variant>
        <vt:i4>0</vt:i4>
      </vt:variant>
      <vt:variant>
        <vt:i4>5</vt:i4>
      </vt:variant>
      <vt:variant>
        <vt:lpwstr>https://www.sps.gov.uk/sites/default/files/2024-11/REFRESHED SHORE STANDARDS - 29 October 2024.pdf</vt:lpwstr>
      </vt:variant>
      <vt:variant>
        <vt:lpwstr/>
      </vt:variant>
      <vt:variant>
        <vt:i4>1769473</vt:i4>
      </vt:variant>
      <vt:variant>
        <vt:i4>207</vt:i4>
      </vt:variant>
      <vt:variant>
        <vt:i4>0</vt:i4>
      </vt:variant>
      <vt:variant>
        <vt:i4>5</vt:i4>
      </vt:variant>
      <vt:variant>
        <vt:lpwstr>https://www.cycj.org.uk/wp-content/uploads/2023/06/Section-13.pdf</vt:lpwstr>
      </vt:variant>
      <vt:variant>
        <vt:lpwstr/>
      </vt:variant>
      <vt:variant>
        <vt:i4>7340089</vt:i4>
      </vt:variant>
      <vt:variant>
        <vt:i4>204</vt:i4>
      </vt:variant>
      <vt:variant>
        <vt:i4>0</vt:i4>
      </vt:variant>
      <vt:variant>
        <vt:i4>5</vt:i4>
      </vt:variant>
      <vt:variant>
        <vt:lpwstr>https://communityjustice.scot/news/restorative-justice-learning-module/</vt:lpwstr>
      </vt:variant>
      <vt:variant>
        <vt:lpwstr/>
      </vt:variant>
      <vt:variant>
        <vt:i4>1441792</vt:i4>
      </vt:variant>
      <vt:variant>
        <vt:i4>201</vt:i4>
      </vt:variant>
      <vt:variant>
        <vt:i4>0</vt:i4>
      </vt:variant>
      <vt:variant>
        <vt:i4>5</vt:i4>
      </vt:variant>
      <vt:variant>
        <vt:lpwstr>https://communityjustice.scot/learning-hub/?learning_hub_topics%5B%5D=restorative-justice</vt:lpwstr>
      </vt:variant>
      <vt:variant>
        <vt:lpwstr/>
      </vt:variant>
      <vt:variant>
        <vt:i4>7405667</vt:i4>
      </vt:variant>
      <vt:variant>
        <vt:i4>198</vt:i4>
      </vt:variant>
      <vt:variant>
        <vt:i4>0</vt:i4>
      </vt:variant>
      <vt:variant>
        <vt:i4>5</vt:i4>
      </vt:variant>
      <vt:variant>
        <vt:lpwstr>https://www.gov.scot/publications/restorative-justice-action-plan/pages/4/</vt:lpwstr>
      </vt:variant>
      <vt:variant>
        <vt:lpwstr/>
      </vt:variant>
      <vt:variant>
        <vt:i4>6422584</vt:i4>
      </vt:variant>
      <vt:variant>
        <vt:i4>195</vt:i4>
      </vt:variant>
      <vt:variant>
        <vt:i4>0</vt:i4>
      </vt:variant>
      <vt:variant>
        <vt:i4>5</vt:i4>
      </vt:variant>
      <vt:variant>
        <vt:lpwstr>https://www.gov.scot/publications/vision-justice-scotland/pages/6/</vt:lpwstr>
      </vt:variant>
      <vt:variant>
        <vt:lpwstr/>
      </vt:variant>
      <vt:variant>
        <vt:i4>7667763</vt:i4>
      </vt:variant>
      <vt:variant>
        <vt:i4>192</vt:i4>
      </vt:variant>
      <vt:variant>
        <vt:i4>0</vt:i4>
      </vt:variant>
      <vt:variant>
        <vt:i4>5</vt:i4>
      </vt:variant>
      <vt:variant>
        <vt:lpwstr>https://www.gov.scot/publications/restorative-justice-action-plan/</vt:lpwstr>
      </vt:variant>
      <vt:variant>
        <vt:lpwstr/>
      </vt:variant>
      <vt:variant>
        <vt:i4>3670134</vt:i4>
      </vt:variant>
      <vt:variant>
        <vt:i4>189</vt:i4>
      </vt:variant>
      <vt:variant>
        <vt:i4>0</vt:i4>
      </vt:variant>
      <vt:variant>
        <vt:i4>5</vt:i4>
      </vt:variant>
      <vt:variant>
        <vt:lpwstr>https://www.nes.scot.nhs.uk/nes-current/roadmap-for-creating-trauma-informed-and-responsive-change/</vt:lpwstr>
      </vt:variant>
      <vt:variant>
        <vt:lpwstr/>
      </vt:variant>
      <vt:variant>
        <vt:i4>1769473</vt:i4>
      </vt:variant>
      <vt:variant>
        <vt:i4>186</vt:i4>
      </vt:variant>
      <vt:variant>
        <vt:i4>0</vt:i4>
      </vt:variant>
      <vt:variant>
        <vt:i4>5</vt:i4>
      </vt:variant>
      <vt:variant>
        <vt:lpwstr>https://www.nes.scot.nhs.uk/nes-current/trauma-informed-justice-a-knowledge-and-skills-framework-for-working-with-victims-and-witnesses-launched/</vt:lpwstr>
      </vt:variant>
      <vt:variant>
        <vt:lpwstr/>
      </vt:variant>
      <vt:variant>
        <vt:i4>7536766</vt:i4>
      </vt:variant>
      <vt:variant>
        <vt:i4>183</vt:i4>
      </vt:variant>
      <vt:variant>
        <vt:i4>0</vt:i4>
      </vt:variant>
      <vt:variant>
        <vt:i4>5</vt:i4>
      </vt:variant>
      <vt:variant>
        <vt:lpwstr>https://www.traumatransformation.scot/</vt:lpwstr>
      </vt:variant>
      <vt:variant>
        <vt:lpwstr/>
      </vt:variant>
      <vt:variant>
        <vt:i4>1507447</vt:i4>
      </vt:variant>
      <vt:variant>
        <vt:i4>180</vt:i4>
      </vt:variant>
      <vt:variant>
        <vt:i4>0</vt:i4>
      </vt:variant>
      <vt:variant>
        <vt:i4>5</vt:i4>
      </vt:variant>
      <vt:variant>
        <vt:lpwstr/>
      </vt:variant>
      <vt:variant>
        <vt:lpwstr>_Priority_Action_3:</vt:lpwstr>
      </vt:variant>
      <vt:variant>
        <vt:i4>2228267</vt:i4>
      </vt:variant>
      <vt:variant>
        <vt:i4>177</vt:i4>
      </vt:variant>
      <vt:variant>
        <vt:i4>0</vt:i4>
      </vt:variant>
      <vt:variant>
        <vt:i4>5</vt:i4>
      </vt:variant>
      <vt:variant>
        <vt:lpwstr>https://www.legislation.gov.uk/asp/2019/14/contents</vt:lpwstr>
      </vt:variant>
      <vt:variant>
        <vt:lpwstr/>
      </vt:variant>
      <vt:variant>
        <vt:i4>7536767</vt:i4>
      </vt:variant>
      <vt:variant>
        <vt:i4>174</vt:i4>
      </vt:variant>
      <vt:variant>
        <vt:i4>0</vt:i4>
      </vt:variant>
      <vt:variant>
        <vt:i4>5</vt:i4>
      </vt:variant>
      <vt:variant>
        <vt:lpwstr>https://www.gov.scot/collections/national-strategy-for-community-justice-delivery-plan-updates/</vt:lpwstr>
      </vt:variant>
      <vt:variant>
        <vt:lpwstr/>
      </vt:variant>
      <vt:variant>
        <vt:i4>720940</vt:i4>
      </vt:variant>
      <vt:variant>
        <vt:i4>171</vt:i4>
      </vt:variant>
      <vt:variant>
        <vt:i4>0</vt:i4>
      </vt:variant>
      <vt:variant>
        <vt:i4>5</vt:i4>
      </vt:variant>
      <vt:variant>
        <vt:lpwstr/>
      </vt:variant>
      <vt:variant>
        <vt:lpwstr>_Performance</vt:lpwstr>
      </vt:variant>
      <vt:variant>
        <vt:i4>4390942</vt:i4>
      </vt:variant>
      <vt:variant>
        <vt:i4>168</vt:i4>
      </vt:variant>
      <vt:variant>
        <vt:i4>0</vt:i4>
      </vt:variant>
      <vt:variant>
        <vt:i4>5</vt:i4>
      </vt:variant>
      <vt:variant>
        <vt:lpwstr>https://www.g4s.com/en-gb/-/media/g4s/unitedkingdom/indexed-files/files/electronic-monitoring-scotland/statisticalbulletin2024v207082024.ashx</vt:lpwstr>
      </vt:variant>
      <vt:variant>
        <vt:lpwstr/>
      </vt:variant>
      <vt:variant>
        <vt:i4>2228267</vt:i4>
      </vt:variant>
      <vt:variant>
        <vt:i4>165</vt:i4>
      </vt:variant>
      <vt:variant>
        <vt:i4>0</vt:i4>
      </vt:variant>
      <vt:variant>
        <vt:i4>5</vt:i4>
      </vt:variant>
      <vt:variant>
        <vt:lpwstr>https://www.legislation.gov.uk/asp/2019/14/contents</vt:lpwstr>
      </vt:variant>
      <vt:variant>
        <vt:lpwstr/>
      </vt:variant>
      <vt:variant>
        <vt:i4>1048695</vt:i4>
      </vt:variant>
      <vt:variant>
        <vt:i4>162</vt:i4>
      </vt:variant>
      <vt:variant>
        <vt:i4>0</vt:i4>
      </vt:variant>
      <vt:variant>
        <vt:i4>5</vt:i4>
      </vt:variant>
      <vt:variant>
        <vt:lpwstr/>
      </vt:variant>
      <vt:variant>
        <vt:lpwstr>_Priority_Action_4:</vt:lpwstr>
      </vt:variant>
      <vt:variant>
        <vt:i4>5570562</vt:i4>
      </vt:variant>
      <vt:variant>
        <vt:i4>159</vt:i4>
      </vt:variant>
      <vt:variant>
        <vt:i4>0</vt:i4>
      </vt:variant>
      <vt:variant>
        <vt:i4>5</vt:i4>
      </vt:variant>
      <vt:variant>
        <vt:lpwstr>https://www.gov.scot/publications/national-strategy-community-justice-delivery-plan-update-2-march-2024/pages/5/</vt:lpwstr>
      </vt:variant>
      <vt:variant>
        <vt:lpwstr/>
      </vt:variant>
      <vt:variant>
        <vt:i4>2293883</vt:i4>
      </vt:variant>
      <vt:variant>
        <vt:i4>156</vt:i4>
      </vt:variant>
      <vt:variant>
        <vt:i4>0</vt:i4>
      </vt:variant>
      <vt:variant>
        <vt:i4>5</vt:i4>
      </vt:variant>
      <vt:variant>
        <vt:lpwstr>https://www.gov.scot/publications/decision-making-bail-remand-scotland-final-report-december-2023/pages/9/</vt:lpwstr>
      </vt:variant>
      <vt:variant>
        <vt:lpwstr/>
      </vt:variant>
      <vt:variant>
        <vt:i4>6160468</vt:i4>
      </vt:variant>
      <vt:variant>
        <vt:i4>153</vt:i4>
      </vt:variant>
      <vt:variant>
        <vt:i4>0</vt:i4>
      </vt:variant>
      <vt:variant>
        <vt:i4>5</vt:i4>
      </vt:variant>
      <vt:variant>
        <vt:lpwstr>https://www.legislation.gov.uk/ukpga/1995/46/contents</vt:lpwstr>
      </vt:variant>
      <vt:variant>
        <vt:lpwstr/>
      </vt:variant>
      <vt:variant>
        <vt:i4>7733325</vt:i4>
      </vt:variant>
      <vt:variant>
        <vt:i4>150</vt:i4>
      </vt:variant>
      <vt:variant>
        <vt:i4>0</vt:i4>
      </vt:variant>
      <vt:variant>
        <vt:i4>5</vt:i4>
      </vt:variant>
      <vt:variant>
        <vt:lpwstr>https://publichealthscotland.scot/media/28214/v12_national-benchmark-report-on-mat-standards-2023-24.pdf</vt:lpwstr>
      </vt:variant>
      <vt:variant>
        <vt:lpwstr/>
      </vt:variant>
      <vt:variant>
        <vt:i4>4194375</vt:i4>
      </vt:variant>
      <vt:variant>
        <vt:i4>147</vt:i4>
      </vt:variant>
      <vt:variant>
        <vt:i4>0</vt:i4>
      </vt:variant>
      <vt:variant>
        <vt:i4>5</vt:i4>
      </vt:variant>
      <vt:variant>
        <vt:lpwstr>https://www.gov.scot/publications/learning-disabilities-autism-neurodivergence-bill-consultation/</vt:lpwstr>
      </vt:variant>
      <vt:variant>
        <vt:lpwstr/>
      </vt:variant>
      <vt:variant>
        <vt:i4>3735600</vt:i4>
      </vt:variant>
      <vt:variant>
        <vt:i4>144</vt:i4>
      </vt:variant>
      <vt:variant>
        <vt:i4>0</vt:i4>
      </vt:variant>
      <vt:variant>
        <vt:i4>5</vt:i4>
      </vt:variant>
      <vt:variant>
        <vt:lpwstr>https://www.gov.scot/publications/community-justice-performance-framework/pages/7/</vt:lpwstr>
      </vt:variant>
      <vt:variant>
        <vt:lpwstr/>
      </vt:variant>
      <vt:variant>
        <vt:i4>6422589</vt:i4>
      </vt:variant>
      <vt:variant>
        <vt:i4>141</vt:i4>
      </vt:variant>
      <vt:variant>
        <vt:i4>0</vt:i4>
      </vt:variant>
      <vt:variant>
        <vt:i4>5</vt:i4>
      </vt:variant>
      <vt:variant>
        <vt:lpwstr>https://www.gov.scot/publications/vision-justice-scotland/pages/3/</vt:lpwstr>
      </vt:variant>
      <vt:variant>
        <vt:lpwstr/>
      </vt:variant>
      <vt:variant>
        <vt:i4>7536767</vt:i4>
      </vt:variant>
      <vt:variant>
        <vt:i4>138</vt:i4>
      </vt:variant>
      <vt:variant>
        <vt:i4>0</vt:i4>
      </vt:variant>
      <vt:variant>
        <vt:i4>5</vt:i4>
      </vt:variant>
      <vt:variant>
        <vt:lpwstr>https://www.gov.scot/collections/national-strategy-for-community-justice-delivery-plan-updates/</vt:lpwstr>
      </vt:variant>
      <vt:variant>
        <vt:lpwstr/>
      </vt:variant>
      <vt:variant>
        <vt:i4>5046301</vt:i4>
      </vt:variant>
      <vt:variant>
        <vt:i4>135</vt:i4>
      </vt:variant>
      <vt:variant>
        <vt:i4>0</vt:i4>
      </vt:variant>
      <vt:variant>
        <vt:i4>5</vt:i4>
      </vt:variant>
      <vt:variant>
        <vt:lpwstr>https://www.gov.scot/publications/national-strategy-community-justice-delivery-plan/</vt:lpwstr>
      </vt:variant>
      <vt:variant>
        <vt:lpwstr/>
      </vt:variant>
      <vt:variant>
        <vt:i4>3735606</vt:i4>
      </vt:variant>
      <vt:variant>
        <vt:i4>132</vt:i4>
      </vt:variant>
      <vt:variant>
        <vt:i4>0</vt:i4>
      </vt:variant>
      <vt:variant>
        <vt:i4>5</vt:i4>
      </vt:variant>
      <vt:variant>
        <vt:lpwstr>https://www.gov.scot/publications/community-justice-performance-framework/pages/1/</vt:lpwstr>
      </vt:variant>
      <vt:variant>
        <vt:lpwstr/>
      </vt:variant>
      <vt:variant>
        <vt:i4>4718681</vt:i4>
      </vt:variant>
      <vt:variant>
        <vt:i4>129</vt:i4>
      </vt:variant>
      <vt:variant>
        <vt:i4>0</vt:i4>
      </vt:variant>
      <vt:variant>
        <vt:i4>5</vt:i4>
      </vt:variant>
      <vt:variant>
        <vt:lpwstr>https://www.gov.scot/publications/national-strategy-community-justice-2/pages/1/</vt:lpwstr>
      </vt:variant>
      <vt:variant>
        <vt:lpwstr/>
      </vt:variant>
      <vt:variant>
        <vt:i4>1835064</vt:i4>
      </vt:variant>
      <vt:variant>
        <vt:i4>122</vt:i4>
      </vt:variant>
      <vt:variant>
        <vt:i4>0</vt:i4>
      </vt:variant>
      <vt:variant>
        <vt:i4>5</vt:i4>
      </vt:variant>
      <vt:variant>
        <vt:lpwstr/>
      </vt:variant>
      <vt:variant>
        <vt:lpwstr>_Toc184290413</vt:lpwstr>
      </vt:variant>
      <vt:variant>
        <vt:i4>1835064</vt:i4>
      </vt:variant>
      <vt:variant>
        <vt:i4>116</vt:i4>
      </vt:variant>
      <vt:variant>
        <vt:i4>0</vt:i4>
      </vt:variant>
      <vt:variant>
        <vt:i4>5</vt:i4>
      </vt:variant>
      <vt:variant>
        <vt:lpwstr/>
      </vt:variant>
      <vt:variant>
        <vt:lpwstr>_Toc184290412</vt:lpwstr>
      </vt:variant>
      <vt:variant>
        <vt:i4>1835064</vt:i4>
      </vt:variant>
      <vt:variant>
        <vt:i4>110</vt:i4>
      </vt:variant>
      <vt:variant>
        <vt:i4>0</vt:i4>
      </vt:variant>
      <vt:variant>
        <vt:i4>5</vt:i4>
      </vt:variant>
      <vt:variant>
        <vt:lpwstr/>
      </vt:variant>
      <vt:variant>
        <vt:lpwstr>_Toc184290411</vt:lpwstr>
      </vt:variant>
      <vt:variant>
        <vt:i4>1835064</vt:i4>
      </vt:variant>
      <vt:variant>
        <vt:i4>104</vt:i4>
      </vt:variant>
      <vt:variant>
        <vt:i4>0</vt:i4>
      </vt:variant>
      <vt:variant>
        <vt:i4>5</vt:i4>
      </vt:variant>
      <vt:variant>
        <vt:lpwstr/>
      </vt:variant>
      <vt:variant>
        <vt:lpwstr>_Toc184290410</vt:lpwstr>
      </vt:variant>
      <vt:variant>
        <vt:i4>1900600</vt:i4>
      </vt:variant>
      <vt:variant>
        <vt:i4>98</vt:i4>
      </vt:variant>
      <vt:variant>
        <vt:i4>0</vt:i4>
      </vt:variant>
      <vt:variant>
        <vt:i4>5</vt:i4>
      </vt:variant>
      <vt:variant>
        <vt:lpwstr/>
      </vt:variant>
      <vt:variant>
        <vt:lpwstr>_Toc184290409</vt:lpwstr>
      </vt:variant>
      <vt:variant>
        <vt:i4>1900600</vt:i4>
      </vt:variant>
      <vt:variant>
        <vt:i4>92</vt:i4>
      </vt:variant>
      <vt:variant>
        <vt:i4>0</vt:i4>
      </vt:variant>
      <vt:variant>
        <vt:i4>5</vt:i4>
      </vt:variant>
      <vt:variant>
        <vt:lpwstr/>
      </vt:variant>
      <vt:variant>
        <vt:lpwstr>_Toc184290408</vt:lpwstr>
      </vt:variant>
      <vt:variant>
        <vt:i4>1900600</vt:i4>
      </vt:variant>
      <vt:variant>
        <vt:i4>86</vt:i4>
      </vt:variant>
      <vt:variant>
        <vt:i4>0</vt:i4>
      </vt:variant>
      <vt:variant>
        <vt:i4>5</vt:i4>
      </vt:variant>
      <vt:variant>
        <vt:lpwstr/>
      </vt:variant>
      <vt:variant>
        <vt:lpwstr>_Toc184290407</vt:lpwstr>
      </vt:variant>
      <vt:variant>
        <vt:i4>1900600</vt:i4>
      </vt:variant>
      <vt:variant>
        <vt:i4>80</vt:i4>
      </vt:variant>
      <vt:variant>
        <vt:i4>0</vt:i4>
      </vt:variant>
      <vt:variant>
        <vt:i4>5</vt:i4>
      </vt:variant>
      <vt:variant>
        <vt:lpwstr/>
      </vt:variant>
      <vt:variant>
        <vt:lpwstr>_Toc184290406</vt:lpwstr>
      </vt:variant>
      <vt:variant>
        <vt:i4>1900600</vt:i4>
      </vt:variant>
      <vt:variant>
        <vt:i4>74</vt:i4>
      </vt:variant>
      <vt:variant>
        <vt:i4>0</vt:i4>
      </vt:variant>
      <vt:variant>
        <vt:i4>5</vt:i4>
      </vt:variant>
      <vt:variant>
        <vt:lpwstr/>
      </vt:variant>
      <vt:variant>
        <vt:lpwstr>_Toc184290405</vt:lpwstr>
      </vt:variant>
      <vt:variant>
        <vt:i4>1900600</vt:i4>
      </vt:variant>
      <vt:variant>
        <vt:i4>68</vt:i4>
      </vt:variant>
      <vt:variant>
        <vt:i4>0</vt:i4>
      </vt:variant>
      <vt:variant>
        <vt:i4>5</vt:i4>
      </vt:variant>
      <vt:variant>
        <vt:lpwstr/>
      </vt:variant>
      <vt:variant>
        <vt:lpwstr>_Toc184290404</vt:lpwstr>
      </vt:variant>
      <vt:variant>
        <vt:i4>1900600</vt:i4>
      </vt:variant>
      <vt:variant>
        <vt:i4>62</vt:i4>
      </vt:variant>
      <vt:variant>
        <vt:i4>0</vt:i4>
      </vt:variant>
      <vt:variant>
        <vt:i4>5</vt:i4>
      </vt:variant>
      <vt:variant>
        <vt:lpwstr/>
      </vt:variant>
      <vt:variant>
        <vt:lpwstr>_Toc184290403</vt:lpwstr>
      </vt:variant>
      <vt:variant>
        <vt:i4>1900600</vt:i4>
      </vt:variant>
      <vt:variant>
        <vt:i4>56</vt:i4>
      </vt:variant>
      <vt:variant>
        <vt:i4>0</vt:i4>
      </vt:variant>
      <vt:variant>
        <vt:i4>5</vt:i4>
      </vt:variant>
      <vt:variant>
        <vt:lpwstr/>
      </vt:variant>
      <vt:variant>
        <vt:lpwstr>_Toc184290402</vt:lpwstr>
      </vt:variant>
      <vt:variant>
        <vt:i4>1900600</vt:i4>
      </vt:variant>
      <vt:variant>
        <vt:i4>50</vt:i4>
      </vt:variant>
      <vt:variant>
        <vt:i4>0</vt:i4>
      </vt:variant>
      <vt:variant>
        <vt:i4>5</vt:i4>
      </vt:variant>
      <vt:variant>
        <vt:lpwstr/>
      </vt:variant>
      <vt:variant>
        <vt:lpwstr>_Toc184290401</vt:lpwstr>
      </vt:variant>
      <vt:variant>
        <vt:i4>1900600</vt:i4>
      </vt:variant>
      <vt:variant>
        <vt:i4>44</vt:i4>
      </vt:variant>
      <vt:variant>
        <vt:i4>0</vt:i4>
      </vt:variant>
      <vt:variant>
        <vt:i4>5</vt:i4>
      </vt:variant>
      <vt:variant>
        <vt:lpwstr/>
      </vt:variant>
      <vt:variant>
        <vt:lpwstr>_Toc184290400</vt:lpwstr>
      </vt:variant>
      <vt:variant>
        <vt:i4>1310783</vt:i4>
      </vt:variant>
      <vt:variant>
        <vt:i4>38</vt:i4>
      </vt:variant>
      <vt:variant>
        <vt:i4>0</vt:i4>
      </vt:variant>
      <vt:variant>
        <vt:i4>5</vt:i4>
      </vt:variant>
      <vt:variant>
        <vt:lpwstr/>
      </vt:variant>
      <vt:variant>
        <vt:lpwstr>_Toc184290399</vt:lpwstr>
      </vt:variant>
      <vt:variant>
        <vt:i4>1310783</vt:i4>
      </vt:variant>
      <vt:variant>
        <vt:i4>32</vt:i4>
      </vt:variant>
      <vt:variant>
        <vt:i4>0</vt:i4>
      </vt:variant>
      <vt:variant>
        <vt:i4>5</vt:i4>
      </vt:variant>
      <vt:variant>
        <vt:lpwstr/>
      </vt:variant>
      <vt:variant>
        <vt:lpwstr>_Toc184290398</vt:lpwstr>
      </vt:variant>
      <vt:variant>
        <vt:i4>1310783</vt:i4>
      </vt:variant>
      <vt:variant>
        <vt:i4>26</vt:i4>
      </vt:variant>
      <vt:variant>
        <vt:i4>0</vt:i4>
      </vt:variant>
      <vt:variant>
        <vt:i4>5</vt:i4>
      </vt:variant>
      <vt:variant>
        <vt:lpwstr/>
      </vt:variant>
      <vt:variant>
        <vt:lpwstr>_Toc184290397</vt:lpwstr>
      </vt:variant>
      <vt:variant>
        <vt:i4>1310783</vt:i4>
      </vt:variant>
      <vt:variant>
        <vt:i4>20</vt:i4>
      </vt:variant>
      <vt:variant>
        <vt:i4>0</vt:i4>
      </vt:variant>
      <vt:variant>
        <vt:i4>5</vt:i4>
      </vt:variant>
      <vt:variant>
        <vt:lpwstr/>
      </vt:variant>
      <vt:variant>
        <vt:lpwstr>_Toc184290396</vt:lpwstr>
      </vt:variant>
      <vt:variant>
        <vt:i4>1310783</vt:i4>
      </vt:variant>
      <vt:variant>
        <vt:i4>14</vt:i4>
      </vt:variant>
      <vt:variant>
        <vt:i4>0</vt:i4>
      </vt:variant>
      <vt:variant>
        <vt:i4>5</vt:i4>
      </vt:variant>
      <vt:variant>
        <vt:lpwstr/>
      </vt:variant>
      <vt:variant>
        <vt:lpwstr>_Toc184290395</vt:lpwstr>
      </vt:variant>
      <vt:variant>
        <vt:i4>1310783</vt:i4>
      </vt:variant>
      <vt:variant>
        <vt:i4>8</vt:i4>
      </vt:variant>
      <vt:variant>
        <vt:i4>0</vt:i4>
      </vt:variant>
      <vt:variant>
        <vt:i4>5</vt:i4>
      </vt:variant>
      <vt:variant>
        <vt:lpwstr/>
      </vt:variant>
      <vt:variant>
        <vt:lpwstr>_Toc184290394</vt:lpwstr>
      </vt:variant>
      <vt:variant>
        <vt:i4>1310783</vt:i4>
      </vt:variant>
      <vt:variant>
        <vt:i4>2</vt:i4>
      </vt:variant>
      <vt:variant>
        <vt:i4>0</vt:i4>
      </vt:variant>
      <vt:variant>
        <vt:i4>5</vt:i4>
      </vt:variant>
      <vt:variant>
        <vt:lpwstr/>
      </vt:variant>
      <vt:variant>
        <vt:lpwstr>_Toc184290393</vt:lpwstr>
      </vt:variant>
      <vt:variant>
        <vt:i4>65553</vt:i4>
      </vt:variant>
      <vt:variant>
        <vt:i4>90</vt:i4>
      </vt:variant>
      <vt:variant>
        <vt:i4>0</vt:i4>
      </vt:variant>
      <vt:variant>
        <vt:i4>5</vt:i4>
      </vt:variant>
      <vt:variant>
        <vt:lpwstr>https://www.gov.scot/publications/commission-future-delivery-public-services/pages/7/</vt:lpwstr>
      </vt:variant>
      <vt:variant>
        <vt:lpwstr/>
      </vt:variant>
      <vt:variant>
        <vt:i4>2031616</vt:i4>
      </vt:variant>
      <vt:variant>
        <vt:i4>87</vt:i4>
      </vt:variant>
      <vt:variant>
        <vt:i4>0</vt:i4>
      </vt:variant>
      <vt:variant>
        <vt:i4>5</vt:i4>
      </vt:variant>
      <vt:variant>
        <vt:lpwstr>https://www.legislation.gov.uk/asp/2016/10/section/22</vt:lpwstr>
      </vt:variant>
      <vt:variant>
        <vt:lpwstr/>
      </vt:variant>
      <vt:variant>
        <vt:i4>7078010</vt:i4>
      </vt:variant>
      <vt:variant>
        <vt:i4>84</vt:i4>
      </vt:variant>
      <vt:variant>
        <vt:i4>0</vt:i4>
      </vt:variant>
      <vt:variant>
        <vt:i4>5</vt:i4>
      </vt:variant>
      <vt:variant>
        <vt:lpwstr>https://www.gov.scot/publications/community-justice-outcomes-improvement-planning-reporting-statutory-guidance/</vt:lpwstr>
      </vt:variant>
      <vt:variant>
        <vt:lpwstr/>
      </vt:variant>
      <vt:variant>
        <vt:i4>1835008</vt:i4>
      </vt:variant>
      <vt:variant>
        <vt:i4>81</vt:i4>
      </vt:variant>
      <vt:variant>
        <vt:i4>0</vt:i4>
      </vt:variant>
      <vt:variant>
        <vt:i4>5</vt:i4>
      </vt:variant>
      <vt:variant>
        <vt:lpwstr>https://www.legislation.gov.uk/asp/2016/10/section/13</vt:lpwstr>
      </vt:variant>
      <vt:variant>
        <vt:lpwstr/>
      </vt:variant>
      <vt:variant>
        <vt:i4>6815797</vt:i4>
      </vt:variant>
      <vt:variant>
        <vt:i4>78</vt:i4>
      </vt:variant>
      <vt:variant>
        <vt:i4>0</vt:i4>
      </vt:variant>
      <vt:variant>
        <vt:i4>5</vt:i4>
      </vt:variant>
      <vt:variant>
        <vt:lpwstr>https://www.sccjr.ac.uk/wp-content/uploads/2013/07/SCCJR-ROA-Final-Report-26-June-2013.pdf</vt:lpwstr>
      </vt:variant>
      <vt:variant>
        <vt:lpwstr/>
      </vt:variant>
      <vt:variant>
        <vt:i4>5570637</vt:i4>
      </vt:variant>
      <vt:variant>
        <vt:i4>75</vt:i4>
      </vt:variant>
      <vt:variant>
        <vt:i4>0</vt:i4>
      </vt:variant>
      <vt:variant>
        <vt:i4>5</vt:i4>
      </vt:variant>
      <vt:variant>
        <vt:lpwstr>https://www.mwcscot.org.uk/sites/default/files/2022-04/PrisonReport-April2022.pdf</vt:lpwstr>
      </vt:variant>
      <vt:variant>
        <vt:lpwstr/>
      </vt:variant>
      <vt:variant>
        <vt:i4>7733325</vt:i4>
      </vt:variant>
      <vt:variant>
        <vt:i4>72</vt:i4>
      </vt:variant>
      <vt:variant>
        <vt:i4>0</vt:i4>
      </vt:variant>
      <vt:variant>
        <vt:i4>5</vt:i4>
      </vt:variant>
      <vt:variant>
        <vt:lpwstr>https://publichealthscotland.scot/media/28214/v12_national-benchmark-report-on-mat-standards-2023-24.pdf</vt:lpwstr>
      </vt:variant>
      <vt:variant>
        <vt:lpwstr/>
      </vt:variant>
      <vt:variant>
        <vt:i4>7733325</vt:i4>
      </vt:variant>
      <vt:variant>
        <vt:i4>69</vt:i4>
      </vt:variant>
      <vt:variant>
        <vt:i4>0</vt:i4>
      </vt:variant>
      <vt:variant>
        <vt:i4>5</vt:i4>
      </vt:variant>
      <vt:variant>
        <vt:lpwstr>https://publichealthscotland.scot/media/28214/v12_national-benchmark-report-on-mat-standards-2023-24.pdf</vt:lpwstr>
      </vt:variant>
      <vt:variant>
        <vt:lpwstr/>
      </vt:variant>
      <vt:variant>
        <vt:i4>4849683</vt:i4>
      </vt:variant>
      <vt:variant>
        <vt:i4>66</vt:i4>
      </vt:variant>
      <vt:variant>
        <vt:i4>0</vt:i4>
      </vt:variant>
      <vt:variant>
        <vt:i4>5</vt:i4>
      </vt:variant>
      <vt:variant>
        <vt:lpwstr>https://www.cycj.org.uk/resource/youthjusticeinscotland/</vt:lpwstr>
      </vt:variant>
      <vt:variant>
        <vt:lpwstr/>
      </vt:variant>
      <vt:variant>
        <vt:i4>3145845</vt:i4>
      </vt:variant>
      <vt:variant>
        <vt:i4>63</vt:i4>
      </vt:variant>
      <vt:variant>
        <vt:i4>0</vt:i4>
      </vt:variant>
      <vt:variant>
        <vt:i4>5</vt:i4>
      </vt:variant>
      <vt:variant>
        <vt:lpwstr>https://communityjustice.scot/wp-content/uploads/2022/09/Restorative-Justice-Key-Messages-and-Useful-Links.pdf</vt:lpwstr>
      </vt:variant>
      <vt:variant>
        <vt:lpwstr/>
      </vt:variant>
      <vt:variant>
        <vt:i4>3735661</vt:i4>
      </vt:variant>
      <vt:variant>
        <vt:i4>60</vt:i4>
      </vt:variant>
      <vt:variant>
        <vt:i4>0</vt:i4>
      </vt:variant>
      <vt:variant>
        <vt:i4>5</vt:i4>
      </vt:variant>
      <vt:variant>
        <vt:lpwstr>https://www.gov.scot/publications/justice-social-work-statistics-scotland-2023-24-part-1/pages/11/</vt:lpwstr>
      </vt:variant>
      <vt:variant>
        <vt:lpwstr/>
      </vt:variant>
      <vt:variant>
        <vt:i4>4390942</vt:i4>
      </vt:variant>
      <vt:variant>
        <vt:i4>57</vt:i4>
      </vt:variant>
      <vt:variant>
        <vt:i4>0</vt:i4>
      </vt:variant>
      <vt:variant>
        <vt:i4>5</vt:i4>
      </vt:variant>
      <vt:variant>
        <vt:lpwstr>https://www.g4s.com/en-gb/-/media/g4s/unitedkingdom/indexed-files/files/electronic-monitoring-scotland/statisticalbulletin2024v207082024.ashx</vt:lpwstr>
      </vt:variant>
      <vt:variant>
        <vt:lpwstr/>
      </vt:variant>
      <vt:variant>
        <vt:i4>2228267</vt:i4>
      </vt:variant>
      <vt:variant>
        <vt:i4>54</vt:i4>
      </vt:variant>
      <vt:variant>
        <vt:i4>0</vt:i4>
      </vt:variant>
      <vt:variant>
        <vt:i4>5</vt:i4>
      </vt:variant>
      <vt:variant>
        <vt:lpwstr>https://www.legislation.gov.uk/asp/2019/14/contents</vt:lpwstr>
      </vt:variant>
      <vt:variant>
        <vt:lpwstr/>
      </vt:variant>
      <vt:variant>
        <vt:i4>5242964</vt:i4>
      </vt:variant>
      <vt:variant>
        <vt:i4>51</vt:i4>
      </vt:variant>
      <vt:variant>
        <vt:i4>0</vt:i4>
      </vt:variant>
      <vt:variant>
        <vt:i4>5</vt:i4>
      </vt:variant>
      <vt:variant>
        <vt:lpwstr>https://www.gov.scot/binaries/content/documents/govscot/publications/consultation-paper/2017/03/electronic-monitoring-scotland-consultation-proposals-legislation/documents/00514625-pdf/00514625-pdf/govscot%3Adocument/?inline=true</vt:lpwstr>
      </vt:variant>
      <vt:variant>
        <vt:lpwstr>:~:text=This%20consultation%20seeks%20views%20on,Electronic%20Monitoring%20Expert%20Working%20Group.</vt:lpwstr>
      </vt:variant>
      <vt:variant>
        <vt:i4>2293883</vt:i4>
      </vt:variant>
      <vt:variant>
        <vt:i4>48</vt:i4>
      </vt:variant>
      <vt:variant>
        <vt:i4>0</vt:i4>
      </vt:variant>
      <vt:variant>
        <vt:i4>5</vt:i4>
      </vt:variant>
      <vt:variant>
        <vt:lpwstr>https://www.gov.scot/publications/decision-making-bail-remand-scotland-final-report-december-2023/pages/9/</vt:lpwstr>
      </vt:variant>
      <vt:variant>
        <vt:lpwstr/>
      </vt:variant>
      <vt:variant>
        <vt:i4>131155</vt:i4>
      </vt:variant>
      <vt:variant>
        <vt:i4>45</vt:i4>
      </vt:variant>
      <vt:variant>
        <vt:i4>0</vt:i4>
      </vt:variant>
      <vt:variant>
        <vt:i4>5</vt:i4>
      </vt:variant>
      <vt:variant>
        <vt:lpwstr>https://www.legislation.gov.uk/asp/2023/4/part/1</vt:lpwstr>
      </vt:variant>
      <vt:variant>
        <vt:lpwstr/>
      </vt:variant>
      <vt:variant>
        <vt:i4>6946851</vt:i4>
      </vt:variant>
      <vt:variant>
        <vt:i4>42</vt:i4>
      </vt:variant>
      <vt:variant>
        <vt:i4>0</vt:i4>
      </vt:variant>
      <vt:variant>
        <vt:i4>5</vt:i4>
      </vt:variant>
      <vt:variant>
        <vt:lpwstr>https://www.gov.scot/publications/bail-supervision-national-guidance/documents/</vt:lpwstr>
      </vt:variant>
      <vt:variant>
        <vt:lpwstr/>
      </vt:variant>
      <vt:variant>
        <vt:i4>1048668</vt:i4>
      </vt:variant>
      <vt:variant>
        <vt:i4>39</vt:i4>
      </vt:variant>
      <vt:variant>
        <vt:i4>0</vt:i4>
      </vt:variant>
      <vt:variant>
        <vt:i4>5</vt:i4>
      </vt:variant>
      <vt:variant>
        <vt:lpwstr>https://www.gov.scot/publications/justice-social-work-statistics-scotland-2023-24-part-1/pages/7/</vt:lpwstr>
      </vt:variant>
      <vt:variant>
        <vt:lpwstr/>
      </vt:variant>
      <vt:variant>
        <vt:i4>6750320</vt:i4>
      </vt:variant>
      <vt:variant>
        <vt:i4>36</vt:i4>
      </vt:variant>
      <vt:variant>
        <vt:i4>0</vt:i4>
      </vt:variant>
      <vt:variant>
        <vt:i4>5</vt:i4>
      </vt:variant>
      <vt:variant>
        <vt:lpwstr>https://www.legislation.gov.uk/ukpga/1995/46/section/28</vt:lpwstr>
      </vt:variant>
      <vt:variant>
        <vt:lpwstr/>
      </vt:variant>
      <vt:variant>
        <vt:i4>2293875</vt:i4>
      </vt:variant>
      <vt:variant>
        <vt:i4>33</vt:i4>
      </vt:variant>
      <vt:variant>
        <vt:i4>0</vt:i4>
      </vt:variant>
      <vt:variant>
        <vt:i4>5</vt:i4>
      </vt:variant>
      <vt:variant>
        <vt:lpwstr>https://www.gov.scot/publications/decision-making-bail-remand-scotland-final-report-december-2023/pages/1/</vt:lpwstr>
      </vt:variant>
      <vt:variant>
        <vt:lpwstr/>
      </vt:variant>
      <vt:variant>
        <vt:i4>5242897</vt:i4>
      </vt:variant>
      <vt:variant>
        <vt:i4>30</vt:i4>
      </vt:variant>
      <vt:variant>
        <vt:i4>0</vt:i4>
      </vt:variant>
      <vt:variant>
        <vt:i4>5</vt:i4>
      </vt:variant>
      <vt:variant>
        <vt:lpwstr>https://view.officeapps.live.com/op/view.aspx?src=https%3A%2F%2Fwww.scotland.police.uk%2Fspa-media%2Fxaffo3fk%2Fperformance-report-quarter-4-2023-24.docx&amp;wdOrigin=BROWSELINK</vt:lpwstr>
      </vt:variant>
      <vt:variant>
        <vt:lpwstr/>
      </vt:variant>
      <vt:variant>
        <vt:i4>5767238</vt:i4>
      </vt:variant>
      <vt:variant>
        <vt:i4>27</vt:i4>
      </vt:variant>
      <vt:variant>
        <vt:i4>0</vt:i4>
      </vt:variant>
      <vt:variant>
        <vt:i4>5</vt:i4>
      </vt:variant>
      <vt:variant>
        <vt:lpwstr>https://www.careinspectorate.com/images/documents/6985/Joint review of diversion from prosecution - FINAL - published 210223.pdf</vt:lpwstr>
      </vt:variant>
      <vt:variant>
        <vt:lpwstr/>
      </vt:variant>
      <vt:variant>
        <vt:i4>8192127</vt:i4>
      </vt:variant>
      <vt:variant>
        <vt:i4>24</vt:i4>
      </vt:variant>
      <vt:variant>
        <vt:i4>0</vt:i4>
      </vt:variant>
      <vt:variant>
        <vt:i4>5</vt:i4>
      </vt:variant>
      <vt:variant>
        <vt:lpwstr>https://scotland.shinyapps.io/sg-criminal-disposals-dashboard/</vt:lpwstr>
      </vt:variant>
      <vt:variant>
        <vt:lpwstr/>
      </vt:variant>
      <vt:variant>
        <vt:i4>2162722</vt:i4>
      </vt:variant>
      <vt:variant>
        <vt:i4>21</vt:i4>
      </vt:variant>
      <vt:variant>
        <vt:i4>0</vt:i4>
      </vt:variant>
      <vt:variant>
        <vt:i4>5</vt:i4>
      </vt:variant>
      <vt:variant>
        <vt:lpwstr>https://www.gov.scot/publications/justice-social-work-statistics-additional-time-series-tables/</vt:lpwstr>
      </vt:variant>
      <vt:variant>
        <vt:lpwstr/>
      </vt:variant>
      <vt:variant>
        <vt:i4>4587606</vt:i4>
      </vt:variant>
      <vt:variant>
        <vt:i4>18</vt:i4>
      </vt:variant>
      <vt:variant>
        <vt:i4>0</vt:i4>
      </vt:variant>
      <vt:variant>
        <vt:i4>5</vt:i4>
      </vt:variant>
      <vt:variant>
        <vt:lpwstr>https://communityjustice.scot/wp-content/uploads/2023/05/Commissioning-Voluntary-Throughcare-and-Mentoring-Primary-research-findings-Full-final-Apr-2023.pdf</vt:lpwstr>
      </vt:variant>
      <vt:variant>
        <vt:lpwstr/>
      </vt:variant>
      <vt:variant>
        <vt:i4>2687014</vt:i4>
      </vt:variant>
      <vt:variant>
        <vt:i4>15</vt:i4>
      </vt:variant>
      <vt:variant>
        <vt:i4>0</vt:i4>
      </vt:variant>
      <vt:variant>
        <vt:i4>5</vt:i4>
      </vt:variant>
      <vt:variant>
        <vt:lpwstr>https://www.gov.scot/publications/criminal-proceedings-scotland-2021-22/pages/12/</vt:lpwstr>
      </vt:variant>
      <vt:variant>
        <vt:lpwstr>Chart7</vt:lpwstr>
      </vt:variant>
      <vt:variant>
        <vt:i4>5767174</vt:i4>
      </vt:variant>
      <vt:variant>
        <vt:i4>12</vt:i4>
      </vt:variant>
      <vt:variant>
        <vt:i4>0</vt:i4>
      </vt:variant>
      <vt:variant>
        <vt:i4>5</vt:i4>
      </vt:variant>
      <vt:variant>
        <vt:lpwstr>https://www.gov.scot/publications/recorded-crime-scotland-2019-2020/pages/7/</vt:lpwstr>
      </vt:variant>
      <vt:variant>
        <vt:lpwstr/>
      </vt:variant>
      <vt:variant>
        <vt:i4>6291508</vt:i4>
      </vt:variant>
      <vt:variant>
        <vt:i4>9</vt:i4>
      </vt:variant>
      <vt:variant>
        <vt:i4>0</vt:i4>
      </vt:variant>
      <vt:variant>
        <vt:i4>5</vt:i4>
      </vt:variant>
      <vt:variant>
        <vt:lpwstr>https://www.gov.scot/publications/recorded-crime-scotland-2023-24/pages/2/</vt:lpwstr>
      </vt:variant>
      <vt:variant>
        <vt:lpwstr/>
      </vt:variant>
      <vt:variant>
        <vt:i4>7929911</vt:i4>
      </vt:variant>
      <vt:variant>
        <vt:i4>6</vt:i4>
      </vt:variant>
      <vt:variant>
        <vt:i4>0</vt:i4>
      </vt:variant>
      <vt:variant>
        <vt:i4>5</vt:i4>
      </vt:variant>
      <vt:variant>
        <vt:lpwstr>https://www.gov.scot/publications/recorded-crime-scotland-2023-24/pages/16/</vt:lpwstr>
      </vt:variant>
      <vt:variant>
        <vt:lpwstr/>
      </vt:variant>
      <vt:variant>
        <vt:i4>262224</vt:i4>
      </vt:variant>
      <vt:variant>
        <vt:i4>3</vt:i4>
      </vt:variant>
      <vt:variant>
        <vt:i4>0</vt:i4>
      </vt:variant>
      <vt:variant>
        <vt:i4>5</vt:i4>
      </vt:variant>
      <vt:variant>
        <vt:lpwstr>https://www.gov.scot/publications/criminal-proceedings-scotland-2021-22/pages/12/</vt:lpwstr>
      </vt:variant>
      <vt:variant>
        <vt:lpwstr/>
      </vt:variant>
      <vt:variant>
        <vt:i4>3997821</vt:i4>
      </vt:variant>
      <vt:variant>
        <vt:i4>0</vt:i4>
      </vt:variant>
      <vt:variant>
        <vt:i4>0</vt:i4>
      </vt:variant>
      <vt:variant>
        <vt:i4>5</vt:i4>
      </vt:variant>
      <vt:variant>
        <vt:lpwstr>https://www.sps.gov.uk/about-us/transparency/data-research-and-evidence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Shearer</dc:creator>
  <cp:keywords/>
  <dc:description/>
  <cp:lastModifiedBy>Richard Thomson</cp:lastModifiedBy>
  <cp:revision>37</cp:revision>
  <cp:lastPrinted>2023-07-06T12:32:00Z</cp:lastPrinted>
  <dcterms:created xsi:type="dcterms:W3CDTF">2025-03-25T17:56:00Z</dcterms:created>
  <dcterms:modified xsi:type="dcterms:W3CDTF">2025-03-27T13:53:00Z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A51591923</vt:lpwstr>
  </property>
  <property fmtid="{D5CDD505-2E9C-101B-9397-08002B2CF9AE}" pid="4" name="Objective-Title">
    <vt:lpwstr>CJS Outcome Activity Annual Report 2023-24</vt:lpwstr>
  </property>
  <property fmtid="{D5CDD505-2E9C-101B-9397-08002B2CF9AE}" pid="5" name="Objective-Description">
    <vt:lpwstr/>
  </property>
  <property fmtid="{D5CDD505-2E9C-101B-9397-08002B2CF9AE}" pid="6" name="Objective-CreationStamp">
    <vt:filetime>2025-01-27T08:03:40Z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2025-03-27T13:53:24Z</vt:filetime>
  </property>
  <property fmtid="{D5CDD505-2E9C-101B-9397-08002B2CF9AE}" pid="11" name="Objective-Owner">
    <vt:lpwstr>Thomson, Richard R (U448088)</vt:lpwstr>
  </property>
  <property fmtid="{D5CDD505-2E9C-101B-9397-08002B2CF9AE}" pid="12" name="Objective-Path">
    <vt:lpwstr>Objective Global Folder:Community Justice Scotland File Plan:Administration:Corporate strategy:Strategy and change:Corporate strategy: Strategy and change (Community Justice Scotland):Community Justice Scotland: Outcome Activity Annual Report (2023-24): 2024-2029</vt:lpwstr>
  </property>
  <property fmtid="{D5CDD505-2E9C-101B-9397-08002B2CF9AE}" pid="13" name="Objective-Parent">
    <vt:lpwstr>Community Justice Scotland: Outcome Activity Annual Report (2023-24): 2024-2029</vt:lpwstr>
  </property>
  <property fmtid="{D5CDD505-2E9C-101B-9397-08002B2CF9AE}" pid="14" name="Objective-State">
    <vt:lpwstr>Being Drafted</vt:lpwstr>
  </property>
  <property fmtid="{D5CDD505-2E9C-101B-9397-08002B2CF9AE}" pid="15" name="Objective-VersionId">
    <vt:lpwstr>vA79035069</vt:lpwstr>
  </property>
  <property fmtid="{D5CDD505-2E9C-101B-9397-08002B2CF9AE}" pid="16" name="Objective-Version">
    <vt:lpwstr>0.57</vt:lpwstr>
  </property>
  <property fmtid="{D5CDD505-2E9C-101B-9397-08002B2CF9AE}" pid="17" name="Objective-VersionNumber">
    <vt:r8>57</vt:r8>
  </property>
  <property fmtid="{D5CDD505-2E9C-101B-9397-08002B2CF9AE}" pid="18" name="Objective-VersionComment">
    <vt:lpwstr/>
  </property>
  <property fmtid="{D5CDD505-2E9C-101B-9397-08002B2CF9AE}" pid="19" name="Objective-FileNumber">
    <vt:lpwstr>PROJ/131738</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ContentTypeId">
    <vt:lpwstr>0x010100D2E8F0B8CF45954BA940A96459428FCD</vt:lpwstr>
  </property>
  <property fmtid="{D5CDD505-2E9C-101B-9397-08002B2CF9AE}" pid="29" name="MediaServiceImageTags">
    <vt:lpwstr/>
  </property>
</Properties>
</file>